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71BF2D" w14:textId="77777777" w:rsidR="00152953" w:rsidRPr="00453D6D" w:rsidRDefault="003D41D9" w:rsidP="00453D6D">
      <w:pPr>
        <w:rPr>
          <w:rFonts w:ascii="Times New Roman" w:hAnsi="Times New Roman" w:cs="Times New Roman"/>
          <w:b/>
        </w:rPr>
      </w:pPr>
      <w:r w:rsidRPr="00453D6D">
        <w:rPr>
          <w:rFonts w:ascii="Times New Roman" w:hAnsi="Times New Roman" w:cs="Times New Roman"/>
          <w:b/>
        </w:rPr>
        <w:t>CZ’s genome!</w:t>
      </w:r>
    </w:p>
    <w:p w14:paraId="35C007B3" w14:textId="658C0464" w:rsidR="003D41D9" w:rsidRPr="00453D6D" w:rsidRDefault="005D1DEE" w:rsidP="00453D6D">
      <w:pPr>
        <w:rPr>
          <w:rFonts w:ascii="Times New Roman" w:hAnsi="Times New Roman" w:cs="Times New Roman"/>
        </w:rPr>
      </w:pPr>
      <w:proofErr w:type="gramStart"/>
      <w:r>
        <w:rPr>
          <w:rFonts w:ascii="Times New Roman" w:hAnsi="Times New Roman" w:cs="Times New Roman"/>
        </w:rPr>
        <w:t>from</w:t>
      </w:r>
      <w:proofErr w:type="gramEnd"/>
      <w:r>
        <w:rPr>
          <w:rFonts w:ascii="Times New Roman" w:hAnsi="Times New Roman" w:cs="Times New Roman"/>
        </w:rPr>
        <w:t xml:space="preserve"> </w:t>
      </w:r>
      <w:r w:rsidR="003D41D9" w:rsidRPr="00453D6D">
        <w:rPr>
          <w:rFonts w:ascii="Times New Roman" w:hAnsi="Times New Roman" w:cs="Times New Roman"/>
        </w:rPr>
        <w:t>the Mason Lab, Weill Cornell Medicine</w:t>
      </w:r>
      <w:r w:rsidR="0020679B">
        <w:rPr>
          <w:rFonts w:ascii="Times New Roman" w:hAnsi="Times New Roman" w:cs="Times New Roman"/>
        </w:rPr>
        <w:t xml:space="preserve"> (WCM)</w:t>
      </w:r>
    </w:p>
    <w:p w14:paraId="22F43C84" w14:textId="77777777" w:rsidR="003D41D9" w:rsidRPr="00453D6D" w:rsidRDefault="003D41D9" w:rsidP="00453D6D">
      <w:pPr>
        <w:rPr>
          <w:rFonts w:ascii="Times New Roman" w:hAnsi="Times New Roman" w:cs="Times New Roman"/>
        </w:rPr>
      </w:pPr>
    </w:p>
    <w:p w14:paraId="0EC2494E" w14:textId="77777777" w:rsidR="00453D6D" w:rsidRPr="00453D6D" w:rsidRDefault="00453D6D" w:rsidP="00453D6D">
      <w:pPr>
        <w:pStyle w:val="Heading3"/>
        <w:shd w:val="clear" w:color="auto" w:fill="FFFFFF"/>
        <w:spacing w:before="0" w:beforeAutospacing="0" w:after="0" w:afterAutospacing="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t>
      </w:r>
      <w:r w:rsidRPr="00453D6D">
        <w:rPr>
          <w:rFonts w:ascii="Times New Roman" w:eastAsia="Times New Roman" w:hAnsi="Times New Roman" w:cs="Times New Roman"/>
          <w:sz w:val="24"/>
          <w:szCs w:val="24"/>
        </w:rPr>
        <w:t xml:space="preserve">Ancestry </w:t>
      </w:r>
    </w:p>
    <w:p w14:paraId="4E82F566" w14:textId="176485AE" w:rsidR="00453D6D" w:rsidRPr="00453D6D" w:rsidRDefault="00453D6D" w:rsidP="00453D6D">
      <w:pPr>
        <w:pStyle w:val="NormalWeb"/>
        <w:shd w:val="clear" w:color="auto" w:fill="FFFFFF"/>
        <w:spacing w:before="0" w:beforeAutospacing="0" w:after="0" w:afterAutospacing="0"/>
        <w:textAlignment w:val="baseline"/>
        <w:rPr>
          <w:rFonts w:ascii="Times New Roman" w:hAnsi="Times New Roman"/>
          <w:sz w:val="24"/>
          <w:szCs w:val="24"/>
        </w:rPr>
      </w:pPr>
      <w:r>
        <w:rPr>
          <w:rFonts w:ascii="Times New Roman" w:hAnsi="Times New Roman"/>
          <w:sz w:val="24"/>
          <w:szCs w:val="24"/>
        </w:rPr>
        <w:t xml:space="preserve">We first </w:t>
      </w:r>
      <w:r w:rsidR="005D1DEE">
        <w:rPr>
          <w:rFonts w:ascii="Times New Roman" w:hAnsi="Times New Roman"/>
          <w:sz w:val="24"/>
          <w:szCs w:val="24"/>
        </w:rPr>
        <w:t>confirmed that CZ was indeed genetically male, based on the X-c</w:t>
      </w:r>
      <w:r w:rsidR="0020679B">
        <w:rPr>
          <w:rFonts w:ascii="Times New Roman" w:hAnsi="Times New Roman"/>
          <w:sz w:val="24"/>
          <w:szCs w:val="24"/>
        </w:rPr>
        <w:t xml:space="preserve">hromosome’s Loss of </w:t>
      </w:r>
      <w:proofErr w:type="spellStart"/>
      <w:r w:rsidR="0020679B">
        <w:rPr>
          <w:rFonts w:ascii="Times New Roman" w:hAnsi="Times New Roman"/>
          <w:sz w:val="24"/>
          <w:szCs w:val="24"/>
        </w:rPr>
        <w:t>Heterozygosi</w:t>
      </w:r>
      <w:r w:rsidR="005D1DEE">
        <w:rPr>
          <w:rFonts w:ascii="Times New Roman" w:hAnsi="Times New Roman"/>
          <w:sz w:val="24"/>
          <w:szCs w:val="24"/>
        </w:rPr>
        <w:t>ty</w:t>
      </w:r>
      <w:proofErr w:type="spellEnd"/>
      <w:r w:rsidR="0020679B">
        <w:rPr>
          <w:rFonts w:ascii="Times New Roman" w:hAnsi="Times New Roman"/>
          <w:sz w:val="24"/>
          <w:szCs w:val="24"/>
        </w:rPr>
        <w:t xml:space="preserve"> (LOH)</w:t>
      </w:r>
      <w:r w:rsidR="005D1DEE">
        <w:rPr>
          <w:rFonts w:ascii="Times New Roman" w:hAnsi="Times New Roman"/>
          <w:sz w:val="24"/>
          <w:szCs w:val="24"/>
        </w:rPr>
        <w:t>, and this inde</w:t>
      </w:r>
      <w:r w:rsidR="0020679B">
        <w:rPr>
          <w:rFonts w:ascii="Times New Roman" w:hAnsi="Times New Roman"/>
          <w:sz w:val="24"/>
          <w:szCs w:val="24"/>
        </w:rPr>
        <w:t>ed was true (&gt;98% homozygous SNV</w:t>
      </w:r>
      <w:r w:rsidR="005D1DEE">
        <w:rPr>
          <w:rFonts w:ascii="Times New Roman" w:hAnsi="Times New Roman"/>
          <w:sz w:val="24"/>
          <w:szCs w:val="24"/>
        </w:rPr>
        <w:t xml:space="preserve"> calls). Next, we </w:t>
      </w:r>
      <w:r>
        <w:rPr>
          <w:rFonts w:ascii="Times New Roman" w:hAnsi="Times New Roman"/>
          <w:sz w:val="24"/>
          <w:szCs w:val="24"/>
        </w:rPr>
        <w:t xml:space="preserve">wanted to look at the ancestry of CZ using Ancestry Mapper, </w:t>
      </w:r>
      <w:r w:rsidRPr="00453D6D">
        <w:rPr>
          <w:rFonts w:ascii="Times New Roman" w:hAnsi="Times New Roman"/>
          <w:sz w:val="24"/>
          <w:szCs w:val="24"/>
        </w:rPr>
        <w:t xml:space="preserve">a tool that allows you to calculate the genetic distance of a </w:t>
      </w:r>
      <w:r>
        <w:rPr>
          <w:rFonts w:ascii="Times New Roman" w:hAnsi="Times New Roman"/>
          <w:sz w:val="24"/>
          <w:szCs w:val="24"/>
        </w:rPr>
        <w:t xml:space="preserve">person’s </w:t>
      </w:r>
      <w:r w:rsidRPr="00453D6D">
        <w:rPr>
          <w:rFonts w:ascii="Times New Roman" w:hAnsi="Times New Roman"/>
          <w:sz w:val="24"/>
          <w:szCs w:val="24"/>
        </w:rPr>
        <w:t xml:space="preserve">genome </w:t>
      </w:r>
      <w:r>
        <w:rPr>
          <w:rFonts w:ascii="Times New Roman" w:hAnsi="Times New Roman"/>
          <w:sz w:val="24"/>
          <w:szCs w:val="24"/>
        </w:rPr>
        <w:t xml:space="preserve">relative </w:t>
      </w:r>
      <w:r w:rsidRPr="00453D6D">
        <w:rPr>
          <w:rFonts w:ascii="Times New Roman" w:hAnsi="Times New Roman"/>
          <w:sz w:val="24"/>
          <w:szCs w:val="24"/>
        </w:rPr>
        <w:t>to 51 reference populations, using over 1</w:t>
      </w:r>
      <w:r>
        <w:rPr>
          <w:rFonts w:ascii="Times New Roman" w:hAnsi="Times New Roman"/>
          <w:sz w:val="24"/>
          <w:szCs w:val="24"/>
        </w:rPr>
        <w:t>,</w:t>
      </w:r>
      <w:r w:rsidRPr="00453D6D">
        <w:rPr>
          <w:rFonts w:ascii="Times New Roman" w:hAnsi="Times New Roman"/>
          <w:sz w:val="24"/>
          <w:szCs w:val="24"/>
        </w:rPr>
        <w:t xml:space="preserve">000 individuals from the Human Genome Diversity Project.  </w:t>
      </w:r>
      <w:r>
        <w:rPr>
          <w:rFonts w:ascii="Times New Roman" w:hAnsi="Times New Roman"/>
          <w:sz w:val="24"/>
          <w:szCs w:val="24"/>
        </w:rPr>
        <w:t>Interestingly, w</w:t>
      </w:r>
      <w:r w:rsidRPr="00453D6D">
        <w:rPr>
          <w:rFonts w:ascii="Times New Roman" w:hAnsi="Times New Roman"/>
          <w:sz w:val="24"/>
          <w:szCs w:val="24"/>
        </w:rPr>
        <w:t xml:space="preserve">e also used this same algorithm to map the DNA left on subway surfaces with the neighborhood’s U.S. Census data (Black, White, Asian, Hispanic) and showed that neighborhoods’ DNA that </w:t>
      </w:r>
      <w:r>
        <w:rPr>
          <w:rFonts w:ascii="Times New Roman" w:hAnsi="Times New Roman"/>
          <w:sz w:val="24"/>
          <w:szCs w:val="24"/>
        </w:rPr>
        <w:t xml:space="preserve">often matched the Census data (Afshinnekoo </w:t>
      </w:r>
      <w:r w:rsidRPr="00453D6D">
        <w:rPr>
          <w:rFonts w:ascii="Times New Roman" w:hAnsi="Times New Roman"/>
          <w:i/>
          <w:sz w:val="24"/>
          <w:szCs w:val="24"/>
        </w:rPr>
        <w:t>et al</w:t>
      </w:r>
      <w:r>
        <w:rPr>
          <w:rFonts w:ascii="Times New Roman" w:hAnsi="Times New Roman"/>
          <w:sz w:val="24"/>
          <w:szCs w:val="24"/>
        </w:rPr>
        <w:t xml:space="preserve">., 2015). </w:t>
      </w:r>
      <w:r w:rsidR="0020679B">
        <w:rPr>
          <w:rFonts w:ascii="Times New Roman" w:hAnsi="Times New Roman"/>
          <w:sz w:val="24"/>
          <w:szCs w:val="24"/>
        </w:rPr>
        <w:t>But, f</w:t>
      </w:r>
      <w:r w:rsidRPr="00453D6D">
        <w:rPr>
          <w:rFonts w:ascii="Times New Roman" w:hAnsi="Times New Roman"/>
          <w:sz w:val="24"/>
          <w:szCs w:val="24"/>
        </w:rPr>
        <w:t>or CZ</w:t>
      </w:r>
      <w:r>
        <w:rPr>
          <w:rFonts w:ascii="Times New Roman" w:hAnsi="Times New Roman"/>
          <w:sz w:val="24"/>
          <w:szCs w:val="24"/>
        </w:rPr>
        <w:t xml:space="preserve"> (bottom row</w:t>
      </w:r>
      <w:r w:rsidRPr="00453D6D">
        <w:rPr>
          <w:rFonts w:ascii="Times New Roman" w:hAnsi="Times New Roman"/>
          <w:b/>
          <w:sz w:val="24"/>
          <w:szCs w:val="24"/>
        </w:rPr>
        <w:t>, Figure 1</w:t>
      </w:r>
      <w:r w:rsidRPr="00453D6D">
        <w:rPr>
          <w:rFonts w:ascii="Times New Roman" w:hAnsi="Times New Roman"/>
          <w:sz w:val="24"/>
          <w:szCs w:val="24"/>
        </w:rPr>
        <w:t xml:space="preserve">), we found </w:t>
      </w:r>
      <w:r>
        <w:rPr>
          <w:rFonts w:ascii="Times New Roman" w:hAnsi="Times New Roman"/>
          <w:sz w:val="24"/>
          <w:szCs w:val="24"/>
        </w:rPr>
        <w:t xml:space="preserve">him </w:t>
      </w:r>
      <w:r w:rsidRPr="00453D6D">
        <w:rPr>
          <w:rFonts w:ascii="Times New Roman" w:hAnsi="Times New Roman"/>
          <w:sz w:val="24"/>
          <w:szCs w:val="24"/>
        </w:rPr>
        <w:t>closest to the French</w:t>
      </w:r>
      <w:r w:rsidR="0020679B">
        <w:rPr>
          <w:rFonts w:ascii="Times New Roman" w:hAnsi="Times New Roman"/>
          <w:sz w:val="24"/>
          <w:szCs w:val="24"/>
        </w:rPr>
        <w:t>, Italian, and Basque</w:t>
      </w:r>
      <w:r w:rsidRPr="00453D6D">
        <w:rPr>
          <w:rFonts w:ascii="Times New Roman" w:hAnsi="Times New Roman"/>
          <w:sz w:val="24"/>
          <w:szCs w:val="24"/>
        </w:rPr>
        <w:t xml:space="preserve"> reference population</w:t>
      </w:r>
      <w:r w:rsidR="0020679B">
        <w:rPr>
          <w:rFonts w:ascii="Times New Roman" w:hAnsi="Times New Roman"/>
          <w:sz w:val="24"/>
          <w:szCs w:val="24"/>
        </w:rPr>
        <w:t>s</w:t>
      </w:r>
      <w:r w:rsidRPr="00453D6D">
        <w:rPr>
          <w:rFonts w:ascii="Times New Roman" w:hAnsi="Times New Roman"/>
          <w:sz w:val="24"/>
          <w:szCs w:val="24"/>
        </w:rPr>
        <w:t xml:space="preserve">, </w:t>
      </w:r>
      <w:r>
        <w:rPr>
          <w:rFonts w:ascii="Times New Roman" w:hAnsi="Times New Roman"/>
          <w:sz w:val="24"/>
          <w:szCs w:val="24"/>
        </w:rPr>
        <w:t xml:space="preserve">but also with </w:t>
      </w:r>
      <w:r w:rsidRPr="00453D6D">
        <w:rPr>
          <w:rFonts w:ascii="Times New Roman" w:hAnsi="Times New Roman"/>
          <w:sz w:val="24"/>
          <w:szCs w:val="24"/>
        </w:rPr>
        <w:t>similarity to European and Middle Eastern</w:t>
      </w:r>
      <w:r w:rsidR="0020679B">
        <w:rPr>
          <w:rFonts w:ascii="Times New Roman" w:hAnsi="Times New Roman"/>
          <w:sz w:val="24"/>
          <w:szCs w:val="24"/>
        </w:rPr>
        <w:t xml:space="preserve"> ancestry</w:t>
      </w:r>
      <w:r>
        <w:rPr>
          <w:rFonts w:ascii="Times New Roman" w:hAnsi="Times New Roman"/>
          <w:sz w:val="24"/>
          <w:szCs w:val="24"/>
        </w:rPr>
        <w:t>.</w:t>
      </w:r>
    </w:p>
    <w:p w14:paraId="110D2F83" w14:textId="77777777" w:rsidR="00453D6D" w:rsidRPr="00453D6D" w:rsidRDefault="00453D6D" w:rsidP="00453D6D">
      <w:pPr>
        <w:pStyle w:val="HTMLPreformatted"/>
        <w:textAlignment w:val="baseline"/>
        <w:rPr>
          <w:rStyle w:val="Strong"/>
          <w:rFonts w:ascii="Times New Roman" w:hAnsi="Times New Roman" w:cs="Times New Roman"/>
          <w:sz w:val="24"/>
          <w:szCs w:val="24"/>
          <w:bdr w:val="none" w:sz="0" w:space="0" w:color="auto" w:frame="1"/>
        </w:rPr>
      </w:pPr>
      <w:r w:rsidRPr="00453D6D">
        <w:rPr>
          <w:rFonts w:ascii="Times New Roman" w:hAnsi="Times New Roman" w:cs="Times New Roman"/>
          <w:b/>
          <w:bCs/>
          <w:i/>
          <w:iCs/>
          <w:noProof/>
          <w:sz w:val="24"/>
          <w:szCs w:val="24"/>
          <w:bdr w:val="none" w:sz="0" w:space="0" w:color="auto" w:frame="1"/>
        </w:rPr>
        <w:drawing>
          <wp:inline distT="0" distB="0" distL="0" distR="0" wp14:anchorId="5675C178" wp14:editId="342B4403">
            <wp:extent cx="5493173" cy="54931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3605" cy="5493605"/>
                    </a:xfrm>
                    <a:prstGeom prst="rect">
                      <a:avLst/>
                    </a:prstGeom>
                    <a:noFill/>
                    <a:ln>
                      <a:noFill/>
                    </a:ln>
                  </pic:spPr>
                </pic:pic>
              </a:graphicData>
            </a:graphic>
          </wp:inline>
        </w:drawing>
      </w:r>
      <w:r w:rsidRPr="00453D6D">
        <w:rPr>
          <w:rStyle w:val="Strong"/>
          <w:rFonts w:ascii="Times New Roman" w:hAnsi="Times New Roman" w:cs="Times New Roman"/>
          <w:sz w:val="24"/>
          <w:szCs w:val="24"/>
          <w:bdr w:val="none" w:sz="0" w:space="0" w:color="auto" w:frame="1"/>
        </w:rPr>
        <w:t xml:space="preserve"> </w:t>
      </w:r>
    </w:p>
    <w:p w14:paraId="41E465D1" w14:textId="48ED8491" w:rsidR="00453D6D" w:rsidRDefault="00453D6D" w:rsidP="00453D6D">
      <w:pPr>
        <w:pStyle w:val="HTMLPreformatted"/>
        <w:textAlignment w:val="baseline"/>
        <w:rPr>
          <w:rStyle w:val="Strong"/>
          <w:rFonts w:ascii="Times New Roman" w:hAnsi="Times New Roman" w:cs="Times New Roman"/>
          <w:b w:val="0"/>
          <w:sz w:val="24"/>
          <w:szCs w:val="24"/>
          <w:bdr w:val="none" w:sz="0" w:space="0" w:color="auto" w:frame="1"/>
        </w:rPr>
      </w:pPr>
      <w:r w:rsidRPr="00453D6D">
        <w:rPr>
          <w:rStyle w:val="Strong"/>
          <w:rFonts w:ascii="Times New Roman" w:hAnsi="Times New Roman" w:cs="Times New Roman"/>
          <w:sz w:val="24"/>
          <w:szCs w:val="24"/>
          <w:bdr w:val="none" w:sz="0" w:space="0" w:color="auto" w:frame="1"/>
        </w:rPr>
        <w:t xml:space="preserve">Figure 1- Predicted ancestry of CZ genome.  </w:t>
      </w:r>
      <w:r w:rsidRPr="00453D6D">
        <w:rPr>
          <w:rStyle w:val="Strong"/>
          <w:rFonts w:ascii="Times New Roman" w:hAnsi="Times New Roman" w:cs="Times New Roman"/>
          <w:b w:val="0"/>
          <w:sz w:val="24"/>
          <w:szCs w:val="24"/>
          <w:bdr w:val="none" w:sz="0" w:space="0" w:color="auto" w:frame="1"/>
        </w:rPr>
        <w:t xml:space="preserve">Genetic similarities are plotted for a large set of reference populations (x-axis) from different regions of the world, including Africa, Middle East, Europe, Central South Asia, East Asia, Americas, and Oceania.  CZ’s genome </w:t>
      </w:r>
      <w:r w:rsidR="0020679B">
        <w:rPr>
          <w:rStyle w:val="Strong"/>
          <w:rFonts w:ascii="Times New Roman" w:hAnsi="Times New Roman" w:cs="Times New Roman"/>
          <w:b w:val="0"/>
          <w:sz w:val="24"/>
          <w:szCs w:val="24"/>
          <w:bdr w:val="none" w:sz="0" w:space="0" w:color="auto" w:frame="1"/>
        </w:rPr>
        <w:t xml:space="preserve">is </w:t>
      </w:r>
      <w:r>
        <w:rPr>
          <w:rStyle w:val="Strong"/>
          <w:rFonts w:ascii="Times New Roman" w:hAnsi="Times New Roman" w:cs="Times New Roman"/>
          <w:b w:val="0"/>
          <w:sz w:val="24"/>
          <w:szCs w:val="24"/>
          <w:bdr w:val="none" w:sz="0" w:space="0" w:color="auto" w:frame="1"/>
        </w:rPr>
        <w:t>at the bottom.</w:t>
      </w:r>
    </w:p>
    <w:p w14:paraId="7222E9BA" w14:textId="77777777" w:rsidR="00453D6D" w:rsidRPr="00453D6D" w:rsidRDefault="00453D6D" w:rsidP="00453D6D">
      <w:pPr>
        <w:pStyle w:val="NormalWeb"/>
        <w:shd w:val="clear" w:color="auto" w:fill="FFFFFF"/>
        <w:spacing w:before="0" w:beforeAutospacing="0" w:after="0" w:afterAutospacing="0"/>
        <w:textAlignment w:val="baseline"/>
        <w:rPr>
          <w:rStyle w:val="Emphasis"/>
          <w:rFonts w:ascii="Times New Roman" w:hAnsi="Times New Roman"/>
          <w:b/>
          <w:bCs/>
          <w:sz w:val="24"/>
          <w:szCs w:val="24"/>
          <w:bdr w:val="none" w:sz="0" w:space="0" w:color="auto" w:frame="1"/>
        </w:rPr>
      </w:pPr>
    </w:p>
    <w:p w14:paraId="406D6680" w14:textId="77777777" w:rsidR="00453D6D" w:rsidRPr="00453D6D" w:rsidRDefault="00453D6D" w:rsidP="00453D6D">
      <w:pPr>
        <w:rPr>
          <w:rFonts w:ascii="Times New Roman" w:eastAsia="Times New Roman" w:hAnsi="Times New Roman" w:cs="Times New Roman"/>
          <w:i/>
          <w:iCs/>
          <w:bdr w:val="none" w:sz="0" w:space="0" w:color="auto" w:frame="1"/>
          <w:shd w:val="clear" w:color="auto" w:fill="FFFFFF"/>
        </w:rPr>
      </w:pPr>
      <w:proofErr w:type="gramStart"/>
      <w:r w:rsidRPr="00453D6D">
        <w:rPr>
          <w:rFonts w:ascii="Times New Roman" w:eastAsia="Times New Roman" w:hAnsi="Times New Roman" w:cs="Times New Roman"/>
          <w:b/>
          <w:bCs/>
          <w:i/>
          <w:iCs/>
          <w:bdr w:val="none" w:sz="0" w:space="0" w:color="auto" w:frame="1"/>
          <w:shd w:val="clear" w:color="auto" w:fill="FFFFFF"/>
        </w:rPr>
        <w:t>References :</w:t>
      </w:r>
      <w:proofErr w:type="gramEnd"/>
      <w:r w:rsidRPr="00453D6D">
        <w:rPr>
          <w:rFonts w:ascii="Times New Roman" w:eastAsia="Times New Roman" w:hAnsi="Times New Roman" w:cs="Times New Roman"/>
        </w:rPr>
        <w:br/>
      </w:r>
      <w:r w:rsidRPr="00453D6D">
        <w:rPr>
          <w:rFonts w:ascii="Times New Roman" w:eastAsia="Times New Roman" w:hAnsi="Times New Roman" w:cs="Times New Roman"/>
          <w:i/>
        </w:rPr>
        <w:t xml:space="preserve">Afshinnekoo E, </w:t>
      </w:r>
      <w:proofErr w:type="spellStart"/>
      <w:r w:rsidRPr="00453D6D">
        <w:rPr>
          <w:rFonts w:ascii="Times New Roman" w:eastAsia="Times New Roman" w:hAnsi="Times New Roman" w:cs="Times New Roman"/>
          <w:i/>
        </w:rPr>
        <w:t>Meydan</w:t>
      </w:r>
      <w:proofErr w:type="spellEnd"/>
      <w:r w:rsidRPr="00453D6D">
        <w:rPr>
          <w:rFonts w:ascii="Times New Roman" w:eastAsia="Times New Roman" w:hAnsi="Times New Roman" w:cs="Times New Roman"/>
          <w:i/>
        </w:rPr>
        <w:t xml:space="preserve"> C, </w:t>
      </w:r>
      <w:proofErr w:type="spellStart"/>
      <w:r w:rsidRPr="00453D6D">
        <w:rPr>
          <w:rFonts w:ascii="Times New Roman" w:eastAsia="Times New Roman" w:hAnsi="Times New Roman" w:cs="Times New Roman"/>
          <w:i/>
        </w:rPr>
        <w:t>Chowdhury</w:t>
      </w:r>
      <w:proofErr w:type="spellEnd"/>
      <w:r w:rsidRPr="00453D6D">
        <w:rPr>
          <w:rFonts w:ascii="Times New Roman" w:eastAsia="Times New Roman" w:hAnsi="Times New Roman" w:cs="Times New Roman"/>
          <w:i/>
        </w:rPr>
        <w:t xml:space="preserve"> S, </w:t>
      </w:r>
      <w:proofErr w:type="spellStart"/>
      <w:r w:rsidRPr="00453D6D">
        <w:rPr>
          <w:rFonts w:ascii="Times New Roman" w:eastAsia="Times New Roman" w:hAnsi="Times New Roman" w:cs="Times New Roman"/>
          <w:i/>
        </w:rPr>
        <w:t>Jaroudi</w:t>
      </w:r>
      <w:proofErr w:type="spellEnd"/>
      <w:r w:rsidRPr="00453D6D">
        <w:rPr>
          <w:rFonts w:ascii="Times New Roman" w:eastAsia="Times New Roman" w:hAnsi="Times New Roman" w:cs="Times New Roman"/>
          <w:i/>
        </w:rPr>
        <w:t xml:space="preserve"> D, et al. Mason CE.  “Geospatial Resolution of Human and Bacterial Diversity from City-scale Metagenomics.”  Cell Systems. 2015 Jul 29</w:t>
      </w:r>
      <w:proofErr w:type="gramStart"/>
      <w:r w:rsidRPr="00453D6D">
        <w:rPr>
          <w:rFonts w:ascii="Times New Roman" w:eastAsia="Times New Roman" w:hAnsi="Times New Roman" w:cs="Times New Roman"/>
          <w:i/>
        </w:rPr>
        <w:t>;1</w:t>
      </w:r>
      <w:proofErr w:type="gramEnd"/>
      <w:r w:rsidRPr="00453D6D">
        <w:rPr>
          <w:rFonts w:ascii="Times New Roman" w:eastAsia="Times New Roman" w:hAnsi="Times New Roman" w:cs="Times New Roman"/>
          <w:i/>
        </w:rPr>
        <w:t>(1):72-87. PMC4651444.</w:t>
      </w:r>
    </w:p>
    <w:p w14:paraId="400225ED" w14:textId="77777777" w:rsidR="00453D6D" w:rsidRDefault="00453D6D" w:rsidP="00453D6D">
      <w:pPr>
        <w:rPr>
          <w:rFonts w:ascii="Times New Roman" w:eastAsia="Times New Roman" w:hAnsi="Times New Roman" w:cs="Times New Roman"/>
          <w:i/>
        </w:rPr>
      </w:pPr>
      <w:proofErr w:type="spellStart"/>
      <w:r w:rsidRPr="00453D6D">
        <w:rPr>
          <w:rFonts w:ascii="Times New Roman" w:eastAsia="Times New Roman" w:hAnsi="Times New Roman" w:cs="Times New Roman"/>
          <w:i/>
        </w:rPr>
        <w:t>Magalhães</w:t>
      </w:r>
      <w:proofErr w:type="spellEnd"/>
      <w:r w:rsidRPr="00453D6D">
        <w:rPr>
          <w:rFonts w:ascii="Times New Roman" w:eastAsia="Times New Roman" w:hAnsi="Times New Roman" w:cs="Times New Roman"/>
          <w:i/>
        </w:rPr>
        <w:t xml:space="preserve"> TR, Casey JP, Conroy J, Regan R, Fitzpatrick DJ, et al. (2012) HGDP and </w:t>
      </w:r>
      <w:proofErr w:type="spellStart"/>
      <w:r w:rsidRPr="00453D6D">
        <w:rPr>
          <w:rFonts w:ascii="Times New Roman" w:eastAsia="Times New Roman" w:hAnsi="Times New Roman" w:cs="Times New Roman"/>
          <w:i/>
        </w:rPr>
        <w:t>HapMap</w:t>
      </w:r>
      <w:proofErr w:type="spellEnd"/>
      <w:r w:rsidRPr="00453D6D">
        <w:rPr>
          <w:rFonts w:ascii="Times New Roman" w:eastAsia="Times New Roman" w:hAnsi="Times New Roman" w:cs="Times New Roman"/>
          <w:i/>
        </w:rPr>
        <w:t xml:space="preserve"> Analysis by Ancestry Mapper Reveals Local and Global Population Relationships. </w:t>
      </w:r>
      <w:proofErr w:type="spellStart"/>
      <w:r w:rsidRPr="00453D6D">
        <w:rPr>
          <w:rFonts w:ascii="Times New Roman" w:eastAsia="Times New Roman" w:hAnsi="Times New Roman" w:cs="Times New Roman"/>
          <w:i/>
        </w:rPr>
        <w:t>PLoS</w:t>
      </w:r>
      <w:proofErr w:type="spellEnd"/>
      <w:r w:rsidRPr="00453D6D">
        <w:rPr>
          <w:rFonts w:ascii="Times New Roman" w:eastAsia="Times New Roman" w:hAnsi="Times New Roman" w:cs="Times New Roman"/>
          <w:i/>
        </w:rPr>
        <w:t xml:space="preserve"> ONE 7(11): e49438.</w:t>
      </w:r>
    </w:p>
    <w:p w14:paraId="2D75BE61" w14:textId="77777777" w:rsidR="00453D6D" w:rsidRPr="00453D6D" w:rsidRDefault="00453D6D" w:rsidP="00453D6D">
      <w:pPr>
        <w:rPr>
          <w:rFonts w:ascii="Times New Roman" w:hAnsi="Times New Roman" w:cs="Times New Roman"/>
        </w:rPr>
      </w:pPr>
    </w:p>
    <w:p w14:paraId="19155B71" w14:textId="77777777" w:rsidR="00453D6D" w:rsidRPr="00453D6D" w:rsidRDefault="00453D6D" w:rsidP="00453D6D">
      <w:pPr>
        <w:pStyle w:val="Heading3"/>
        <w:shd w:val="clear" w:color="auto" w:fill="FFFFFF"/>
        <w:spacing w:before="0" w:beforeAutospacing="0" w:after="0" w:afterAutospacing="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w:t>
      </w:r>
      <w:r w:rsidRPr="00453D6D">
        <w:rPr>
          <w:rFonts w:ascii="Times New Roman" w:eastAsia="Times New Roman" w:hAnsi="Times New Roman" w:cs="Times New Roman"/>
          <w:sz w:val="24"/>
          <w:szCs w:val="24"/>
        </w:rPr>
        <w:t>QIAGEN’s Ingenuity Variant Analysis</w:t>
      </w:r>
    </w:p>
    <w:p w14:paraId="6361CD79" w14:textId="07F5C49E" w:rsidR="00453D6D" w:rsidRDefault="00453D6D" w:rsidP="00453D6D">
      <w:pPr>
        <w:pStyle w:val="NormalWeb"/>
        <w:shd w:val="clear" w:color="auto" w:fill="FFFFFF"/>
        <w:spacing w:before="0" w:beforeAutospacing="0" w:after="0" w:afterAutospacing="0"/>
        <w:textAlignment w:val="baseline"/>
        <w:rPr>
          <w:rFonts w:ascii="Times New Roman" w:hAnsi="Times New Roman"/>
          <w:sz w:val="24"/>
          <w:szCs w:val="24"/>
        </w:rPr>
      </w:pPr>
      <w:r w:rsidRPr="00453D6D">
        <w:rPr>
          <w:rFonts w:ascii="Times New Roman" w:hAnsi="Times New Roman"/>
          <w:sz w:val="24"/>
          <w:szCs w:val="24"/>
        </w:rPr>
        <w:t xml:space="preserve">Ingenuity </w:t>
      </w:r>
      <w:r w:rsidR="0020679B">
        <w:rPr>
          <w:rFonts w:ascii="Times New Roman" w:hAnsi="Times New Roman"/>
          <w:sz w:val="24"/>
          <w:szCs w:val="24"/>
        </w:rPr>
        <w:t xml:space="preserve">Variant Analysis </w:t>
      </w:r>
      <w:r w:rsidRPr="00453D6D">
        <w:rPr>
          <w:rFonts w:ascii="Times New Roman" w:hAnsi="Times New Roman"/>
          <w:sz w:val="24"/>
          <w:szCs w:val="24"/>
        </w:rPr>
        <w:t xml:space="preserve">is a </w:t>
      </w:r>
      <w:proofErr w:type="gramStart"/>
      <w:r>
        <w:rPr>
          <w:rFonts w:ascii="Times New Roman" w:hAnsi="Times New Roman"/>
          <w:sz w:val="24"/>
          <w:szCs w:val="24"/>
        </w:rPr>
        <w:t>widely-used</w:t>
      </w:r>
      <w:proofErr w:type="gramEnd"/>
      <w:r w:rsidRPr="00453D6D">
        <w:rPr>
          <w:rFonts w:ascii="Times New Roman" w:hAnsi="Times New Roman"/>
          <w:sz w:val="24"/>
          <w:szCs w:val="24"/>
        </w:rPr>
        <w:t xml:space="preserve"> service used to analyze genomes by prioritizing variants through a series of cascading filters. </w:t>
      </w:r>
      <w:r>
        <w:rPr>
          <w:rFonts w:ascii="Times New Roman" w:hAnsi="Times New Roman"/>
          <w:sz w:val="24"/>
          <w:szCs w:val="24"/>
        </w:rPr>
        <w:t xml:space="preserve">CZ’s </w:t>
      </w:r>
      <w:r w:rsidRPr="00453D6D">
        <w:rPr>
          <w:rFonts w:ascii="Times New Roman" w:hAnsi="Times New Roman"/>
          <w:sz w:val="24"/>
          <w:szCs w:val="24"/>
        </w:rPr>
        <w:t xml:space="preserve">variants </w:t>
      </w:r>
      <w:r>
        <w:rPr>
          <w:rFonts w:ascii="Times New Roman" w:hAnsi="Times New Roman"/>
          <w:sz w:val="24"/>
          <w:szCs w:val="24"/>
        </w:rPr>
        <w:t xml:space="preserve">were ranked </w:t>
      </w:r>
      <w:r w:rsidRPr="00453D6D">
        <w:rPr>
          <w:rFonts w:ascii="Times New Roman" w:hAnsi="Times New Roman"/>
          <w:sz w:val="24"/>
          <w:szCs w:val="24"/>
        </w:rPr>
        <w:t>with the highest prioritized risk, based on their confidence, population frequencies, predictions of being deleterious, and comp</w:t>
      </w:r>
      <w:r>
        <w:rPr>
          <w:rFonts w:ascii="Times New Roman" w:hAnsi="Times New Roman"/>
          <w:sz w:val="24"/>
          <w:szCs w:val="24"/>
        </w:rPr>
        <w:t xml:space="preserve">arison to known cancer drivers.  At the end, these variants </w:t>
      </w:r>
      <w:r w:rsidRPr="00453D6D">
        <w:rPr>
          <w:rFonts w:ascii="Times New Roman" w:hAnsi="Times New Roman"/>
          <w:sz w:val="24"/>
          <w:szCs w:val="24"/>
        </w:rPr>
        <w:t>were associated with Epithelial and Head and Neck tumors</w:t>
      </w:r>
      <w:r>
        <w:rPr>
          <w:rFonts w:ascii="Times New Roman" w:hAnsi="Times New Roman"/>
          <w:sz w:val="24"/>
          <w:szCs w:val="24"/>
        </w:rPr>
        <w:t xml:space="preserve"> (</w:t>
      </w:r>
      <w:r w:rsidRPr="00453D6D">
        <w:rPr>
          <w:rFonts w:ascii="Times New Roman" w:hAnsi="Times New Roman"/>
          <w:b/>
          <w:sz w:val="24"/>
          <w:szCs w:val="24"/>
        </w:rPr>
        <w:t>Figure 2</w:t>
      </w:r>
      <w:r>
        <w:rPr>
          <w:rFonts w:ascii="Times New Roman" w:hAnsi="Times New Roman"/>
          <w:sz w:val="24"/>
          <w:szCs w:val="24"/>
        </w:rPr>
        <w:t>)</w:t>
      </w:r>
      <w:r w:rsidRPr="00453D6D">
        <w:rPr>
          <w:rFonts w:ascii="Times New Roman" w:hAnsi="Times New Roman"/>
          <w:sz w:val="24"/>
          <w:szCs w:val="24"/>
        </w:rPr>
        <w:t xml:space="preserve">. </w:t>
      </w:r>
    </w:p>
    <w:p w14:paraId="3A14897A" w14:textId="389688FB" w:rsidR="00453D6D" w:rsidRPr="00453D6D" w:rsidRDefault="00453D6D" w:rsidP="00453D6D">
      <w:pPr>
        <w:pStyle w:val="NormalWeb"/>
        <w:shd w:val="clear" w:color="auto" w:fill="FFFFFF"/>
        <w:spacing w:before="0" w:beforeAutospacing="0" w:after="0" w:afterAutospacing="0"/>
        <w:textAlignment w:val="baseline"/>
        <w:rPr>
          <w:rFonts w:ascii="Times New Roman" w:hAnsi="Times New Roman"/>
          <w:sz w:val="24"/>
          <w:szCs w:val="24"/>
        </w:rPr>
      </w:pPr>
      <w:r>
        <w:rPr>
          <w:rFonts w:ascii="Times New Roman" w:hAnsi="Times New Roman"/>
          <w:noProof/>
          <w:sz w:val="24"/>
          <w:szCs w:val="24"/>
        </w:rPr>
        <w:drawing>
          <wp:inline distT="0" distB="0" distL="0" distR="0" wp14:anchorId="5D83B418" wp14:editId="20A0DDC1">
            <wp:extent cx="6126480" cy="4113392"/>
            <wp:effectExtent l="0" t="0" r="0"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6480" cy="4113392"/>
                    </a:xfrm>
                    <a:prstGeom prst="rect">
                      <a:avLst/>
                    </a:prstGeom>
                    <a:noFill/>
                    <a:ln>
                      <a:noFill/>
                    </a:ln>
                  </pic:spPr>
                </pic:pic>
              </a:graphicData>
            </a:graphic>
          </wp:inline>
        </w:drawing>
      </w:r>
      <w:r w:rsidRPr="00453D6D">
        <w:rPr>
          <w:rFonts w:ascii="Times New Roman" w:hAnsi="Times New Roman"/>
          <w:b/>
          <w:sz w:val="24"/>
          <w:szCs w:val="24"/>
        </w:rPr>
        <w:t>Figure 2: Summary of Ingenuity’s Variant Interpretation of CZ’s genome.</w:t>
      </w:r>
      <w:r>
        <w:rPr>
          <w:rFonts w:ascii="Times New Roman" w:hAnsi="Times New Roman"/>
          <w:sz w:val="24"/>
          <w:szCs w:val="24"/>
        </w:rPr>
        <w:t xml:space="preserve">  Filter cascades (left) show the removal of common and non-disease related va</w:t>
      </w:r>
      <w:r w:rsidR="0020679B">
        <w:rPr>
          <w:rFonts w:ascii="Times New Roman" w:hAnsi="Times New Roman"/>
          <w:sz w:val="24"/>
          <w:szCs w:val="24"/>
        </w:rPr>
        <w:t>riants, leaving a subset of 177</w:t>
      </w:r>
      <w:r>
        <w:rPr>
          <w:rFonts w:ascii="Times New Roman" w:hAnsi="Times New Roman"/>
          <w:sz w:val="24"/>
          <w:szCs w:val="24"/>
        </w:rPr>
        <w:t xml:space="preserve"> genes with 541 mutations that </w:t>
      </w:r>
      <w:proofErr w:type="gramStart"/>
      <w:r>
        <w:rPr>
          <w:rFonts w:ascii="Times New Roman" w:hAnsi="Times New Roman"/>
          <w:sz w:val="24"/>
          <w:szCs w:val="24"/>
        </w:rPr>
        <w:t>are</w:t>
      </w:r>
      <w:proofErr w:type="gramEnd"/>
      <w:r>
        <w:rPr>
          <w:rFonts w:ascii="Times New Roman" w:hAnsi="Times New Roman"/>
          <w:sz w:val="24"/>
          <w:szCs w:val="24"/>
        </w:rPr>
        <w:t xml:space="preserve"> r</w:t>
      </w:r>
      <w:r w:rsidR="0020679B">
        <w:rPr>
          <w:rFonts w:ascii="Times New Roman" w:hAnsi="Times New Roman"/>
          <w:sz w:val="24"/>
          <w:szCs w:val="24"/>
        </w:rPr>
        <w:t>elated to cancer risk. The top-</w:t>
      </w:r>
      <w:r>
        <w:rPr>
          <w:rFonts w:ascii="Times New Roman" w:hAnsi="Times New Roman"/>
          <w:sz w:val="24"/>
          <w:szCs w:val="24"/>
        </w:rPr>
        <w:t>ranking cancers are epithelial and head and neck cancers.</w:t>
      </w:r>
    </w:p>
    <w:p w14:paraId="40EAE416" w14:textId="77777777" w:rsidR="003D41D9" w:rsidRPr="00453D6D" w:rsidRDefault="003D41D9" w:rsidP="00453D6D">
      <w:pPr>
        <w:rPr>
          <w:rFonts w:ascii="Times New Roman" w:hAnsi="Times New Roman" w:cs="Times New Roman"/>
        </w:rPr>
      </w:pPr>
    </w:p>
    <w:p w14:paraId="0E3D06DF" w14:textId="4EA21A53" w:rsidR="00453D6D" w:rsidRPr="00453D6D" w:rsidRDefault="00453D6D" w:rsidP="00453D6D">
      <w:pPr>
        <w:rPr>
          <w:rFonts w:ascii="Times New Roman" w:hAnsi="Times New Roman" w:cs="Times New Roman"/>
          <w:b/>
        </w:rPr>
      </w:pPr>
      <w:r w:rsidRPr="00453D6D">
        <w:rPr>
          <w:rFonts w:ascii="Times New Roman" w:hAnsi="Times New Roman" w:cs="Times New Roman"/>
          <w:b/>
        </w:rPr>
        <w:t xml:space="preserve">III.  </w:t>
      </w:r>
      <w:proofErr w:type="spellStart"/>
      <w:r w:rsidRPr="00453D6D">
        <w:rPr>
          <w:rFonts w:ascii="Times New Roman" w:hAnsi="Times New Roman" w:cs="Times New Roman"/>
          <w:b/>
        </w:rPr>
        <w:t>Omicia</w:t>
      </w:r>
      <w:proofErr w:type="spellEnd"/>
      <w:r w:rsidRPr="00453D6D">
        <w:rPr>
          <w:rFonts w:ascii="Times New Roman" w:hAnsi="Times New Roman" w:cs="Times New Roman"/>
          <w:b/>
        </w:rPr>
        <w:t xml:space="preserve"> and </w:t>
      </w:r>
      <w:proofErr w:type="spellStart"/>
      <w:r w:rsidRPr="00453D6D">
        <w:rPr>
          <w:rFonts w:ascii="Times New Roman" w:hAnsi="Times New Roman" w:cs="Times New Roman"/>
          <w:b/>
        </w:rPr>
        <w:t>ClinVar</w:t>
      </w:r>
      <w:proofErr w:type="spellEnd"/>
      <w:r w:rsidRPr="00453D6D">
        <w:rPr>
          <w:rFonts w:ascii="Times New Roman" w:hAnsi="Times New Roman" w:cs="Times New Roman"/>
          <w:b/>
        </w:rPr>
        <w:t xml:space="preserve"> for Clinical interpretation of </w:t>
      </w:r>
      <w:r w:rsidR="005D1DEE">
        <w:rPr>
          <w:rFonts w:ascii="Times New Roman" w:hAnsi="Times New Roman" w:cs="Times New Roman"/>
          <w:b/>
        </w:rPr>
        <w:t xml:space="preserve">risk and protective alleles </w:t>
      </w:r>
      <w:r w:rsidRPr="00453D6D">
        <w:rPr>
          <w:rFonts w:ascii="Times New Roman" w:hAnsi="Times New Roman" w:cs="Times New Roman"/>
          <w:b/>
        </w:rPr>
        <w:t>(SNVs):</w:t>
      </w:r>
    </w:p>
    <w:p w14:paraId="563D5B8C" w14:textId="77777777" w:rsidR="00453D6D" w:rsidRPr="00453D6D" w:rsidRDefault="00453D6D" w:rsidP="00453D6D">
      <w:pPr>
        <w:rPr>
          <w:rFonts w:ascii="Times New Roman" w:hAnsi="Times New Roman" w:cs="Times New Roman"/>
        </w:rPr>
      </w:pPr>
    </w:p>
    <w:p w14:paraId="09BC3298" w14:textId="77777777" w:rsidR="005D1DEE" w:rsidRDefault="00453D6D" w:rsidP="00453D6D">
      <w:pPr>
        <w:rPr>
          <w:rFonts w:ascii="Times New Roman" w:hAnsi="Times New Roman" w:cs="Times New Roman"/>
        </w:rPr>
      </w:pPr>
      <w:r w:rsidRPr="00453D6D">
        <w:rPr>
          <w:rFonts w:ascii="Times New Roman" w:hAnsi="Times New Roman" w:cs="Times New Roman"/>
        </w:rPr>
        <w:t xml:space="preserve">We </w:t>
      </w:r>
      <w:r>
        <w:rPr>
          <w:rFonts w:ascii="Times New Roman" w:hAnsi="Times New Roman" w:cs="Times New Roman"/>
        </w:rPr>
        <w:t xml:space="preserve">next </w:t>
      </w:r>
      <w:r w:rsidRPr="00453D6D">
        <w:rPr>
          <w:rFonts w:ascii="Times New Roman" w:hAnsi="Times New Roman" w:cs="Times New Roman"/>
        </w:rPr>
        <w:t xml:space="preserve">annotated variants using </w:t>
      </w:r>
      <w:proofErr w:type="spellStart"/>
      <w:r w:rsidRPr="00453D6D">
        <w:rPr>
          <w:rFonts w:ascii="Times New Roman" w:hAnsi="Times New Roman" w:cs="Times New Roman"/>
        </w:rPr>
        <w:t>SnpEff</w:t>
      </w:r>
      <w:proofErr w:type="spellEnd"/>
      <w:r w:rsidRPr="00453D6D">
        <w:rPr>
          <w:rFonts w:ascii="Times New Roman" w:hAnsi="Times New Roman" w:cs="Times New Roman"/>
        </w:rPr>
        <w:t xml:space="preserve"> software to identify variants in protein coding genes and assess impacts of variants on the protein product </w:t>
      </w:r>
      <w:r w:rsidRPr="00453D6D">
        <w:rPr>
          <w:rFonts w:ascii="Times New Roman" w:hAnsi="Times New Roman" w:cs="Times New Roman"/>
        </w:rPr>
        <w:fldChar w:fldCharType="begin" w:fldLock="1"/>
      </w:r>
      <w:r w:rsidRPr="00453D6D">
        <w:rPr>
          <w:rFonts w:ascii="Times New Roman" w:hAnsi="Times New Roman" w:cs="Times New Roman"/>
        </w:rPr>
        <w:instrText>ADDIN CSL_CITATION { "citationItems" : [ { "id" : "ITEM-1", "itemData" : { "DOI" : "10.4161/fly.19695", "ISSN" : "1933-6942", "PMID" : "22728672", "abstract" : "We describe a new computer program, SnpEff, for rapidly categorizing the effects of variants in genome sequences. Once a genome is sequenced, SnpEff annotates variants based on their genomic locations and predicts coding effects. Annotated genomic locations include intronic, untranslated region, upstream, downstream, splice site, or intergenic regions. Coding effects such as synonymous or non-synonymous amino acid replacement, start codon gains or losses, stop codon gains or losses, or frame shifts can be predicted. Here the use of SnpEff is illustrated by annotating ~356,660 candidate SNPs in ~117 Mb unique sequences, representing a substitution rate of ~1/305 nucleotides, between the Drosophila melanogaster w(1118); iso-2; iso-3 strain and the reference y(1); cn(1) bw(1) sp(1) strain. We show that ~15,842 SNPs are synonymous and ~4,467 SNPs are non-synonymous (N/S ~0.28). The remaining SNPs are in other categories, such as stop codon gains (38 SNPs), stop codon losses (8 SNPs), and start codon gains (297 SNPs) in the 5'UTR. We found, as expected, that the SNP frequency is proportional to the recombination frequency (i.e., highest in the middle of chromosome arms). We also found that start-gain or stop-lost SNPs in Drosophila melanogaster often result in additions of N-terminal or C-terminal amino acids that are conserved in other Drosophila species. It appears that the 5' and 3' UTRs are reservoirs for genetic variations that changes the termini of proteins during evolution of the Drosophila genus. As genome sequencing is becoming inexpensive and routine, SnpEff enables rapid analyses of whole-genome sequencing data to be performed by an individual laboratory.", "author" : [ { "dropping-particle" : "", "family" : "Cingolani", "given" : "Pablo", "non-dropping-particle" : "", "parse-names" : false, "suffix" : "" }, { "dropping-particle" : "", "family" : "Platts", "given" : "Adrian", "non-dropping-particle" : "", "parse-names" : false, "suffix" : "" }, { "dropping-particle" : "", "family" : "Wang", "given" : "Le Lily", "non-dropping-particle" : "", "parse-names" : false, "suffix" : "" }, { "dropping-particle" : "", "family" : "Coon", "given" : "Melissa", "non-dropping-particle" : "", "parse-names" : false, "suffix" : "" }, { "dropping-particle" : "", "family" : "Nguyen", "given" : "Tung", "non-dropping-particle" : "", "parse-names" : false, "suffix" : "" }, { "dropping-particle" : "", "family" : "Wang", "given" : "Luan", "non-dropping-particle" : "", "parse-names" : false, "suffix" : "" }, { "dropping-particle" : "", "family" : "Land", "given" : "Susan J", "non-dropping-particle" : "", "parse-names" : false, "suffix" : "" }, { "dropping-particle" : "", "family" : "Lu", "given" : "Xiangyi", "non-dropping-particle" : "", "parse-names" : false, "suffix" : "" }, { "dropping-particle" : "", "family" : "Ruden", "given" : "Douglas M", "non-dropping-particle" : "", "parse-names" : false, "suffix" : "" } ], "container-title" : "Fly", "id" : "ITEM-1", "issue" : "2", "issued" : { "date-parts" : [ [ "0", "1" ] ] }, "page" : "80-92", "title" : "A program for annotating and predicting the effects of single nucleotide polymorphisms, SnpEff: SNPs in the genome of Drosophila melanogaster strain w1118; iso-2; iso-3.", "type" : "article-journal", "volume" : "6" }, "uris" : [ "http://www.mendeley.com/documents/?uuid=835371c3-8c1c-484d-87d9-b32501809b17" ] } ], "mendeley" : { "formattedCitation" : "[1]", "plainTextFormattedCitation" : "[1]", "previouslyFormattedCitation" : "[1]" }, "properties" : { "noteIndex" : 0 }, "schema" : "https://github.com/citation-style-language/schema/raw/master/csl-citation.json" }</w:instrText>
      </w:r>
      <w:r w:rsidRPr="00453D6D">
        <w:rPr>
          <w:rFonts w:ascii="Times New Roman" w:hAnsi="Times New Roman" w:cs="Times New Roman"/>
        </w:rPr>
        <w:fldChar w:fldCharType="separate"/>
      </w:r>
      <w:r w:rsidRPr="00453D6D">
        <w:rPr>
          <w:rFonts w:ascii="Times New Roman" w:hAnsi="Times New Roman" w:cs="Times New Roman"/>
          <w:noProof/>
        </w:rPr>
        <w:t>[1]</w:t>
      </w:r>
      <w:r w:rsidRPr="00453D6D">
        <w:rPr>
          <w:rFonts w:ascii="Times New Roman" w:hAnsi="Times New Roman" w:cs="Times New Roman"/>
        </w:rPr>
        <w:fldChar w:fldCharType="end"/>
      </w:r>
      <w:r w:rsidRPr="00453D6D">
        <w:rPr>
          <w:rFonts w:ascii="Times New Roman" w:hAnsi="Times New Roman" w:cs="Times New Roman"/>
        </w:rPr>
        <w:t xml:space="preserve">. We further annotated these variants using the </w:t>
      </w:r>
      <w:proofErr w:type="spellStart"/>
      <w:r w:rsidRPr="00453D6D">
        <w:rPr>
          <w:rFonts w:ascii="Times New Roman" w:hAnsi="Times New Roman" w:cs="Times New Roman"/>
        </w:rPr>
        <w:t>ClinVar</w:t>
      </w:r>
      <w:proofErr w:type="spellEnd"/>
      <w:r w:rsidRPr="00453D6D">
        <w:rPr>
          <w:rFonts w:ascii="Times New Roman" w:hAnsi="Times New Roman" w:cs="Times New Roman"/>
        </w:rPr>
        <w:t xml:space="preserve"> database of pathogenic and non-pathogenic variants submitted through clinical channels on </w:t>
      </w:r>
      <w:proofErr w:type="spellStart"/>
      <w:r w:rsidRPr="00453D6D">
        <w:rPr>
          <w:rFonts w:ascii="Times New Roman" w:hAnsi="Times New Roman" w:cs="Times New Roman"/>
        </w:rPr>
        <w:t>dbSNP</w:t>
      </w:r>
      <w:proofErr w:type="spellEnd"/>
      <w:r w:rsidRPr="00453D6D">
        <w:rPr>
          <w:rFonts w:ascii="Times New Roman" w:hAnsi="Times New Roman" w:cs="Times New Roman"/>
        </w:rPr>
        <w:t xml:space="preserve"> and updated weekly; the version of the </w:t>
      </w:r>
      <w:proofErr w:type="spellStart"/>
      <w:r w:rsidRPr="00453D6D">
        <w:rPr>
          <w:rFonts w:ascii="Times New Roman" w:hAnsi="Times New Roman" w:cs="Times New Roman"/>
        </w:rPr>
        <w:t>vcf</w:t>
      </w:r>
      <w:proofErr w:type="spellEnd"/>
      <w:r w:rsidRPr="00453D6D">
        <w:rPr>
          <w:rFonts w:ascii="Times New Roman" w:hAnsi="Times New Roman" w:cs="Times New Roman"/>
        </w:rPr>
        <w:t xml:space="preserve"> format </w:t>
      </w:r>
      <w:proofErr w:type="spellStart"/>
      <w:r w:rsidRPr="00453D6D">
        <w:rPr>
          <w:rFonts w:ascii="Times New Roman" w:hAnsi="Times New Roman" w:cs="Times New Roman"/>
        </w:rPr>
        <w:t>clinvar</w:t>
      </w:r>
      <w:proofErr w:type="spellEnd"/>
      <w:r w:rsidRPr="00453D6D">
        <w:rPr>
          <w:rFonts w:ascii="Times New Roman" w:hAnsi="Times New Roman" w:cs="Times New Roman"/>
        </w:rPr>
        <w:t xml:space="preserve"> file used was from 03/02/2016 </w:t>
      </w:r>
      <w:r w:rsidRPr="00453D6D">
        <w:rPr>
          <w:rFonts w:ascii="Times New Roman" w:hAnsi="Times New Roman" w:cs="Times New Roman"/>
        </w:rPr>
        <w:fldChar w:fldCharType="begin" w:fldLock="1"/>
      </w:r>
      <w:r w:rsidRPr="00453D6D">
        <w:rPr>
          <w:rFonts w:ascii="Times New Roman" w:hAnsi="Times New Roman" w:cs="Times New Roman"/>
        </w:rPr>
        <w:instrText>ADDIN CSL_CITATION { "citationItems" : [ { "id" : "ITEM-1", "itemData" : { "DOI" : "10.1093/nar/gkt1113", "ISSN" : "1362-4962", "PMID" : "24234437", "abstract" : "ClinVar (http://www.ncbi.nlm.nih.gov/clinvar/) provides a freely available archive of reports of relationships among medically important variants and phenotypes. ClinVar accessions submissions reporting human variation, interpretations of the relationship of that variation to human health and the evidence supporting each interpretation. The database is tightly coupled with dbSNP and dbVar, which maintain information about the location of variation on human assemblies. ClinVar is also based on the phenotypic descriptions maintained in MedGen (http://www.ncbi.nlm.nih.gov/medgen). Each ClinVar record represents the submitter, the variation and the phenotype, i.e. the unit that is assigned an accession of the format SCV000000000.0. The submitter can update the submission at any time, in which case a new version is assigned. To facilitate evaluation of the medical importance of each variant, ClinVar aggregates submissions with the same variation/phenotype combination, adds value from other NCBI databases, assigns a distinct accession of the format RCV000000000.0 and reports if there are conflicting clinical interpretations. Data in ClinVar are available in multiple formats, including html, download as XML, VCF or tab-delimited subsets. Data from ClinVar are provided as annotation tracks on genomic RefSeqs and are used in tools such as Variation Reporter (http://www.ncbi.nlm.nih.gov/variation/tools/reporter), which reports what is known about variation based on user-supplied locations.", "author" : [ { "dropping-particle" : "", "family" : "Landrum", "given" : "Melissa J", "non-dropping-particle" : "", "parse-names" : false, "suffix" : "" }, { "dropping-particle" : "", "family" : "Lee", "given" : "Jennifer M", "non-dropping-particle" : "", "parse-names" : false, "suffix" : "" }, { "dropping-particle" : "", "family" : "Riley", "given" : "George R", "non-dropping-particle" : "", "parse-names" : false, "suffix" : "" }, { "dropping-particle" : "", "family" : "Jang", "given" : "Wonhee", "non-dropping-particle" : "", "parse-names" : false, "suffix" : "" }, { "dropping-particle" : "", "family" : "Rubinstein", "given" : "Wendy S", "non-dropping-particle" : "", "parse-names" : false, "suffix" : "" }, { "dropping-particle" : "", "family" : "Church", "given" : "Deanna M", "non-dropping-particle" : "", "parse-names" : false, "suffix" : "" }, { "dropping-particle" : "", "family" : "Maglott", "given" : "Donna R", "non-dropping-particle" : "", "parse-names" : false, "suffix" : "" } ], "container-title" : "Nucleic acids research", "id" : "ITEM-1", "issue" : "Database issue", "issued" : { "date-parts" : [ [ "2014", "1" ] ] }, "page" : "D980-5", "title" : "ClinVar: public archive of relationships among sequence variation and human phenotype.", "type" : "article-journal", "volume" : "42" }, "uris" : [ "http://www.mendeley.com/documents/?uuid=6d04b39e-c6ee-341e-beb3-28b7cd9cb197" ] } ], "mendeley" : { "formattedCitation" : "[2]", "plainTextFormattedCitation" : "[2]", "previouslyFormattedCitation" : "[2]" }, "properties" : { "noteIndex" : 0 }, "schema" : "https://github.com/citation-style-language/schema/raw/master/csl-citation.json" }</w:instrText>
      </w:r>
      <w:r w:rsidRPr="00453D6D">
        <w:rPr>
          <w:rFonts w:ascii="Times New Roman" w:hAnsi="Times New Roman" w:cs="Times New Roman"/>
        </w:rPr>
        <w:fldChar w:fldCharType="separate"/>
      </w:r>
      <w:r w:rsidRPr="00453D6D">
        <w:rPr>
          <w:rFonts w:ascii="Times New Roman" w:hAnsi="Times New Roman" w:cs="Times New Roman"/>
          <w:noProof/>
        </w:rPr>
        <w:t>[2]</w:t>
      </w:r>
      <w:r w:rsidRPr="00453D6D">
        <w:rPr>
          <w:rFonts w:ascii="Times New Roman" w:hAnsi="Times New Roman" w:cs="Times New Roman"/>
        </w:rPr>
        <w:fldChar w:fldCharType="end"/>
      </w:r>
      <w:r w:rsidRPr="00453D6D">
        <w:rPr>
          <w:rFonts w:ascii="Times New Roman" w:hAnsi="Times New Roman" w:cs="Times New Roman"/>
        </w:rPr>
        <w:t xml:space="preserve">. After filtering for quality and coverage (minimum quality score of 30 and minimum read depth of 10), we used these annotations to identify “high priority” variants, defining “high priority” as variants with moderate to high impact on protein sequence according to </w:t>
      </w:r>
      <w:proofErr w:type="spellStart"/>
      <w:r w:rsidRPr="00453D6D">
        <w:rPr>
          <w:rFonts w:ascii="Times New Roman" w:hAnsi="Times New Roman" w:cs="Times New Roman"/>
        </w:rPr>
        <w:t>SnpEff</w:t>
      </w:r>
      <w:proofErr w:type="spellEnd"/>
      <w:r w:rsidRPr="00453D6D">
        <w:rPr>
          <w:rFonts w:ascii="Times New Roman" w:hAnsi="Times New Roman" w:cs="Times New Roman"/>
        </w:rPr>
        <w:t xml:space="preserve"> and also present in the </w:t>
      </w:r>
      <w:proofErr w:type="spellStart"/>
      <w:r w:rsidRPr="00453D6D">
        <w:rPr>
          <w:rFonts w:ascii="Times New Roman" w:hAnsi="Times New Roman" w:cs="Times New Roman"/>
        </w:rPr>
        <w:t>clinvar</w:t>
      </w:r>
      <w:proofErr w:type="spellEnd"/>
      <w:r w:rsidRPr="00453D6D">
        <w:rPr>
          <w:rFonts w:ascii="Times New Roman" w:hAnsi="Times New Roman" w:cs="Times New Roman"/>
        </w:rPr>
        <w:t xml:space="preserve"> and OMIM (Online </w:t>
      </w:r>
      <w:proofErr w:type="spellStart"/>
      <w:r w:rsidRPr="00453D6D">
        <w:rPr>
          <w:rFonts w:ascii="Times New Roman" w:hAnsi="Times New Roman" w:cs="Times New Roman"/>
        </w:rPr>
        <w:t>Mendelian</w:t>
      </w:r>
      <w:proofErr w:type="spellEnd"/>
      <w:r w:rsidRPr="00453D6D">
        <w:rPr>
          <w:rFonts w:ascii="Times New Roman" w:hAnsi="Times New Roman" w:cs="Times New Roman"/>
        </w:rPr>
        <w:t xml:space="preserve"> Inheritance in Man) databases. </w:t>
      </w:r>
    </w:p>
    <w:p w14:paraId="1E4738AD" w14:textId="77777777" w:rsidR="005D1DEE" w:rsidRDefault="005D1DEE" w:rsidP="00453D6D">
      <w:pPr>
        <w:rPr>
          <w:rFonts w:ascii="Times New Roman" w:hAnsi="Times New Roman" w:cs="Times New Roman"/>
        </w:rPr>
      </w:pPr>
    </w:p>
    <w:p w14:paraId="0AEDEF17" w14:textId="13EDA107" w:rsidR="00453D6D" w:rsidRDefault="00453D6D" w:rsidP="00453D6D">
      <w:pPr>
        <w:rPr>
          <w:rFonts w:ascii="Times New Roman" w:hAnsi="Times New Roman" w:cs="Times New Roman"/>
        </w:rPr>
      </w:pPr>
      <w:r w:rsidRPr="00453D6D">
        <w:rPr>
          <w:rFonts w:ascii="Times New Roman" w:hAnsi="Times New Roman" w:cs="Times New Roman"/>
        </w:rPr>
        <w:t xml:space="preserve">This identified 3,143 SNVs, of which </w:t>
      </w:r>
      <w:proofErr w:type="gramStart"/>
      <w:r w:rsidRPr="00453D6D">
        <w:rPr>
          <w:rFonts w:ascii="Times New Roman" w:hAnsi="Times New Roman" w:cs="Times New Roman"/>
        </w:rPr>
        <w:t xml:space="preserve">41 were marked by </w:t>
      </w:r>
      <w:proofErr w:type="spellStart"/>
      <w:r w:rsidRPr="00453D6D">
        <w:rPr>
          <w:rFonts w:ascii="Times New Roman" w:hAnsi="Times New Roman" w:cs="Times New Roman"/>
        </w:rPr>
        <w:t>ClinVar</w:t>
      </w:r>
      <w:proofErr w:type="spellEnd"/>
      <w:proofErr w:type="gramEnd"/>
      <w:r w:rsidRPr="00453D6D">
        <w:rPr>
          <w:rFonts w:ascii="Times New Roman" w:hAnsi="Times New Roman" w:cs="Times New Roman"/>
        </w:rPr>
        <w:t xml:space="preserve"> as pathogenic and 5/41 SNVs as uncommon. These SNVs are in TERT, PRSS1 (2 SNVs), SAA1, and MEFV. Cross-referencing these SNVs with </w:t>
      </w:r>
      <w:proofErr w:type="spellStart"/>
      <w:r w:rsidRPr="00453D6D">
        <w:rPr>
          <w:rFonts w:ascii="Times New Roman" w:hAnsi="Times New Roman" w:cs="Times New Roman"/>
        </w:rPr>
        <w:t>Omicia’s</w:t>
      </w:r>
      <w:proofErr w:type="spellEnd"/>
      <w:r w:rsidRPr="00453D6D">
        <w:rPr>
          <w:rFonts w:ascii="Times New Roman" w:hAnsi="Times New Roman" w:cs="Times New Roman"/>
        </w:rPr>
        <w:t xml:space="preserve"> Opal Clinical software revealed that variants in MEFV lead to familial Mediterranean fever, but follow a recessive inheritance pattern, and since the variant identified was heterozygous, this SNV is thought to not have a phenotypic effect.  The TERT variant (</w:t>
      </w:r>
      <w:proofErr w:type="gramStart"/>
      <w:r w:rsidRPr="00453D6D">
        <w:rPr>
          <w:rFonts w:ascii="Times New Roman" w:hAnsi="Times New Roman" w:cs="Times New Roman"/>
        </w:rPr>
        <w:t>p.His412Tyr</w:t>
      </w:r>
      <w:proofErr w:type="gramEnd"/>
      <w:r w:rsidRPr="00453D6D">
        <w:rPr>
          <w:rFonts w:ascii="Times New Roman" w:hAnsi="Times New Roman" w:cs="Times New Roman"/>
        </w:rPr>
        <w:t>) is linked to shorter telomere lengths. PRSS1 variants are associated with hereditary pancreatitis, and the SAA1 variant (</w:t>
      </w:r>
      <w:proofErr w:type="gramStart"/>
      <w:r w:rsidRPr="00453D6D">
        <w:rPr>
          <w:rFonts w:ascii="Times New Roman" w:hAnsi="Times New Roman" w:cs="Times New Roman"/>
        </w:rPr>
        <w:t>p.Ala70Val</w:t>
      </w:r>
      <w:proofErr w:type="gramEnd"/>
      <w:r w:rsidRPr="00453D6D">
        <w:rPr>
          <w:rFonts w:ascii="Times New Roman" w:hAnsi="Times New Roman" w:cs="Times New Roman"/>
        </w:rPr>
        <w:t xml:space="preserve">) may increase risk of reactive systemic amyloidosis (AA-amyloidosis) which is a rare complication of common chronic inflammatory diseases such as rheumatoid arthritis </w:t>
      </w:r>
      <w:r w:rsidRPr="00453D6D">
        <w:rPr>
          <w:rFonts w:ascii="Times New Roman" w:hAnsi="Times New Roman" w:cs="Times New Roman"/>
        </w:rPr>
        <w:fldChar w:fldCharType="begin" w:fldLock="1"/>
      </w:r>
      <w:r w:rsidRPr="00453D6D">
        <w:rPr>
          <w:rFonts w:ascii="Times New Roman" w:hAnsi="Times New Roman" w:cs="Times New Roman"/>
        </w:rPr>
        <w:instrText>ADDIN CSL_CITATION { "citationItems" : [ { "id" : "ITEM-1", "itemData" : { "ISSN" : "0964-6906", "PMID" : "7655463", "abstract" : "Reactive systemic amyloidosis, also called AA-amyloidosis is a rare fatal complication of common chronic inflammatory diseases such as rheumatoid arthritis. It has been proposed that as yet undefined factors other than persistent elevation of serum level of the precursor protein, serum amyloid A (SAA), are also important for the development of AA-amyloidosis. In this work we show genomic evidence for a novel allelic variant of human SAA, SAA1 gamma, which we have recently identified at the protein level. The SAA1 gamma [Ala52(GCC), Ala57(GCG)] differed from SAA1 alpha [Val52(GTC), Ala57(GCG)] only at one base, indicating a single point mutation. On the other hand, SAA1 beta [Ala52(GCC), Val57(GTG)] had not only one, but additional differences in a nearby intron and this portion was identical to the SAA2 gene, suggesting a crossing-over between the SAA1 and SAA2 genes. Furthermore, we report that there was a significant difference in the observed numbers of SAA1 alleles between rheumatoid arthritis patients with AA-amyloidosis and the control population (chi 2(2) = 11.59, p = 0.003) with a higher frequency of gamma-allele in the AA-amyloid group (0.70 vs. 0.37). There was also a notable difference in the distribution of SAA1 genotypes (chi 5(2) = 14.63, p = 0.012) with an increased frequency of gamma/gamma-homozygotes in the AA-amyloid group (0.60 vs. 0.18). Thus our findings indicate that this novel allelic variant may be an important risk factor for the development of AA-amyloidosis.", "author" : [ { "dropping-particle" : "", "family" : "Baba", "given" : "S", "non-dropping-particle" : "", "parse-names" : false, "suffix" : "" }, { "dropping-particle" : "", "family" : "Masago", "given" : "S A", "non-dropping-particle" : "", "parse-names" : false, "suffix" : "" }, { "dropping-particle" : "", "family" : "Takahashi", "given" : "T", "non-dropping-particle" : "", "parse-names" : false, "suffix" : "" }, { "dropping-particle" : "", "family" : "Kasama", "given" : "T", "non-dropping-particle" : "", "parse-names" : false, "suffix" : "" }, { "dropping-particle" : "", "family" : "Sugimura", "given" : "H", "non-dropping-particle" : "", "parse-names" : false, "suffix" : "" }, { "dropping-particle" : "", "family" : "Tsugane", "given" : "S", "non-dropping-particle" : "", "parse-names" : false, "suffix" : "" }, { "dropping-particle" : "", "family" : "Tsutsui", "given" : "Y", "non-dropping-particle" : "", "parse-names" : false, "suffix" : "" }, { "dropping-particle" : "", "family" : "Shirasawa", "given" : "H", "non-dropping-particle" : "", "parse-names" : false, "suffix" : "" } ], "container-title" : "Human molecular genetics", "id" : "ITEM-1", "issue" : "6", "issued" : { "date-parts" : [ [ "1995", "6" ] ] }, "page" : "1083-7", "title" : "A novel allelic variant of serum amyloid A, SAA1 gamma: genomic evidence, evolution, frequency, and implication as a risk factor for reactive systemic AA-amyloidosis.", "type" : "article-journal", "volume" : "4" }, "uris" : [ "http://www.mendeley.com/documents/?uuid=6244c287-0bb9-3a3a-a6ed-4d0d32ffc4b7" ] } ], "mendeley" : { "formattedCitation" : "[3]", "plainTextFormattedCitation" : "[3]" }, "properties" : { "noteIndex" : 0 }, "schema" : "https://github.com/citation-style-language/schema/raw/master/csl-citation.json" }</w:instrText>
      </w:r>
      <w:r w:rsidRPr="00453D6D">
        <w:rPr>
          <w:rFonts w:ascii="Times New Roman" w:hAnsi="Times New Roman" w:cs="Times New Roman"/>
        </w:rPr>
        <w:fldChar w:fldCharType="separate"/>
      </w:r>
      <w:r w:rsidRPr="00453D6D">
        <w:rPr>
          <w:rFonts w:ascii="Times New Roman" w:hAnsi="Times New Roman" w:cs="Times New Roman"/>
          <w:noProof/>
        </w:rPr>
        <w:t>[3]</w:t>
      </w:r>
      <w:r w:rsidRPr="00453D6D">
        <w:rPr>
          <w:rFonts w:ascii="Times New Roman" w:hAnsi="Times New Roman" w:cs="Times New Roman"/>
        </w:rPr>
        <w:fldChar w:fldCharType="end"/>
      </w:r>
      <w:r w:rsidRPr="00453D6D">
        <w:rPr>
          <w:rFonts w:ascii="Times New Roman" w:hAnsi="Times New Roman" w:cs="Times New Roman"/>
        </w:rPr>
        <w:t xml:space="preserve">. </w:t>
      </w:r>
    </w:p>
    <w:p w14:paraId="3BD8CDD3" w14:textId="77777777" w:rsidR="005D1DEE" w:rsidRDefault="005D1DEE" w:rsidP="00453D6D">
      <w:pPr>
        <w:rPr>
          <w:rFonts w:ascii="Times New Roman" w:hAnsi="Times New Roman" w:cs="Times New Roman"/>
        </w:rPr>
      </w:pPr>
    </w:p>
    <w:p w14:paraId="075CF22B" w14:textId="5988E3EF" w:rsidR="005D1DEE" w:rsidRDefault="005D1DEE" w:rsidP="00453D6D">
      <w:pPr>
        <w:rPr>
          <w:rFonts w:ascii="Times New Roman" w:hAnsi="Times New Roman" w:cs="Times New Roman"/>
        </w:rPr>
      </w:pPr>
      <w:r>
        <w:rPr>
          <w:rFonts w:ascii="Times New Roman" w:hAnsi="Times New Roman" w:cs="Times New Roman"/>
        </w:rPr>
        <w:t>However, there were some mutations with good news.  Specifically, mutations in C2 and CFB conferred a protection against age-</w:t>
      </w:r>
      <w:r w:rsidR="0020679B">
        <w:rPr>
          <w:rFonts w:ascii="Times New Roman" w:hAnsi="Times New Roman" w:cs="Times New Roman"/>
        </w:rPr>
        <w:t>related</w:t>
      </w:r>
      <w:r>
        <w:rPr>
          <w:rFonts w:ascii="Times New Roman" w:hAnsi="Times New Roman" w:cs="Times New Roman"/>
        </w:rPr>
        <w:t xml:space="preserve"> macular degeneration.  Also, three mutations in IL23R revealed a lower risk of inflammatory bowel disease (IBD) and psoriasis (autoimmune). Moreover, protection against type II diabetes (MTTP), myocardial infarction and </w:t>
      </w:r>
      <w:proofErr w:type="spellStart"/>
      <w:proofErr w:type="gramStart"/>
      <w:r>
        <w:rPr>
          <w:rFonts w:ascii="Times New Roman" w:hAnsi="Times New Roman" w:cs="Times New Roman"/>
        </w:rPr>
        <w:t>venus</w:t>
      </w:r>
      <w:proofErr w:type="spellEnd"/>
      <w:proofErr w:type="gramEnd"/>
      <w:r>
        <w:rPr>
          <w:rFonts w:ascii="Times New Roman" w:hAnsi="Times New Roman" w:cs="Times New Roman"/>
        </w:rPr>
        <w:t xml:space="preserve"> thrombosis (F13A1), and coronary heart </w:t>
      </w:r>
      <w:proofErr w:type="spellStart"/>
      <w:r>
        <w:rPr>
          <w:rFonts w:ascii="Times New Roman" w:hAnsi="Times New Roman" w:cs="Times New Roman"/>
        </w:rPr>
        <w:t>disase</w:t>
      </w:r>
      <w:proofErr w:type="spellEnd"/>
      <w:r>
        <w:rPr>
          <w:rFonts w:ascii="Times New Roman" w:hAnsi="Times New Roman" w:cs="Times New Roman"/>
        </w:rPr>
        <w:t xml:space="preserve"> (ABCA1) were all present. These indicate a </w:t>
      </w:r>
      <w:r w:rsidR="0020679B">
        <w:rPr>
          <w:rFonts w:ascii="Times New Roman" w:hAnsi="Times New Roman" w:cs="Times New Roman"/>
        </w:rPr>
        <w:t xml:space="preserve">genetic catalog </w:t>
      </w:r>
      <w:r>
        <w:rPr>
          <w:rFonts w:ascii="Times New Roman" w:hAnsi="Times New Roman" w:cs="Times New Roman"/>
        </w:rPr>
        <w:t xml:space="preserve">of </w:t>
      </w:r>
      <w:r w:rsidR="0020679B">
        <w:rPr>
          <w:rFonts w:ascii="Times New Roman" w:hAnsi="Times New Roman" w:cs="Times New Roman"/>
        </w:rPr>
        <w:t xml:space="preserve">alleles </w:t>
      </w:r>
      <w:r>
        <w:rPr>
          <w:rFonts w:ascii="Times New Roman" w:hAnsi="Times New Roman" w:cs="Times New Roman"/>
        </w:rPr>
        <w:t>with lower risk than the general population.</w:t>
      </w:r>
    </w:p>
    <w:p w14:paraId="75A6C094" w14:textId="77777777" w:rsidR="005D1DEE" w:rsidRPr="00453D6D" w:rsidRDefault="005D1DEE" w:rsidP="00453D6D">
      <w:pPr>
        <w:rPr>
          <w:rFonts w:ascii="Times New Roman" w:hAnsi="Times New Roman" w:cs="Times New Roman"/>
        </w:rPr>
      </w:pPr>
    </w:p>
    <w:p w14:paraId="64FA080A" w14:textId="77777777" w:rsidR="00453D6D" w:rsidRPr="00453D6D" w:rsidRDefault="00453D6D" w:rsidP="00453D6D">
      <w:pPr>
        <w:rPr>
          <w:rFonts w:ascii="Times New Roman" w:hAnsi="Times New Roman" w:cs="Times New Roman"/>
        </w:rPr>
      </w:pPr>
    </w:p>
    <w:p w14:paraId="67135ACC" w14:textId="77777777" w:rsidR="00453D6D" w:rsidRPr="00453D6D" w:rsidRDefault="00453D6D" w:rsidP="00453D6D">
      <w:pPr>
        <w:widowControl w:val="0"/>
        <w:autoSpaceDE w:val="0"/>
        <w:autoSpaceDN w:val="0"/>
        <w:adjustRightInd w:val="0"/>
        <w:ind w:left="640" w:hanging="640"/>
        <w:rPr>
          <w:rFonts w:ascii="Times New Roman" w:eastAsia="Times New Roman" w:hAnsi="Times New Roman" w:cs="Times New Roman"/>
          <w:noProof/>
        </w:rPr>
      </w:pPr>
      <w:r w:rsidRPr="00453D6D">
        <w:rPr>
          <w:rFonts w:ascii="Times New Roman" w:hAnsi="Times New Roman" w:cs="Times New Roman"/>
        </w:rPr>
        <w:fldChar w:fldCharType="begin" w:fldLock="1"/>
      </w:r>
      <w:r w:rsidRPr="00453D6D">
        <w:rPr>
          <w:rFonts w:ascii="Times New Roman" w:hAnsi="Times New Roman" w:cs="Times New Roman"/>
        </w:rPr>
        <w:instrText xml:space="preserve">ADDIN Mendeley Bibliography CSL_BIBLIOGRAPHY </w:instrText>
      </w:r>
      <w:r w:rsidRPr="00453D6D">
        <w:rPr>
          <w:rFonts w:ascii="Times New Roman" w:hAnsi="Times New Roman" w:cs="Times New Roman"/>
        </w:rPr>
        <w:fldChar w:fldCharType="separate"/>
      </w:r>
      <w:r w:rsidRPr="00453D6D">
        <w:rPr>
          <w:rFonts w:ascii="Times New Roman" w:eastAsia="Times New Roman" w:hAnsi="Times New Roman" w:cs="Times New Roman"/>
          <w:noProof/>
        </w:rPr>
        <w:t>[1]</w:t>
      </w:r>
      <w:r w:rsidRPr="00453D6D">
        <w:rPr>
          <w:rFonts w:ascii="Times New Roman" w:eastAsia="Times New Roman" w:hAnsi="Times New Roman" w:cs="Times New Roman"/>
          <w:noProof/>
        </w:rPr>
        <w:tab/>
        <w:t xml:space="preserve">P. Cingolani, A. Platts, L. L. Wang, M. Coon, T. Nguyen, L. Wang, S. J. Land, X. Lu, and D. M. Ruden, “A program for annotating and predicting the effects of single nucleotide polymorphisms, SnpEff: SNPs in the genome of Drosophila melanogaster strain w1118; iso-2; iso-3.,” </w:t>
      </w:r>
      <w:r w:rsidRPr="00453D6D">
        <w:rPr>
          <w:rFonts w:ascii="Times New Roman" w:eastAsia="Times New Roman" w:hAnsi="Times New Roman" w:cs="Times New Roman"/>
          <w:i/>
          <w:iCs/>
          <w:noProof/>
        </w:rPr>
        <w:t>Fly (Austin).</w:t>
      </w:r>
      <w:r w:rsidRPr="00453D6D">
        <w:rPr>
          <w:rFonts w:ascii="Times New Roman" w:eastAsia="Times New Roman" w:hAnsi="Times New Roman" w:cs="Times New Roman"/>
          <w:noProof/>
        </w:rPr>
        <w:t>, vol. 6, no. 2, pp. 80–92, Jan. .</w:t>
      </w:r>
    </w:p>
    <w:p w14:paraId="6C8F24EA" w14:textId="77777777" w:rsidR="00453D6D" w:rsidRPr="00453D6D" w:rsidRDefault="00453D6D" w:rsidP="00453D6D">
      <w:pPr>
        <w:widowControl w:val="0"/>
        <w:autoSpaceDE w:val="0"/>
        <w:autoSpaceDN w:val="0"/>
        <w:adjustRightInd w:val="0"/>
        <w:ind w:left="640" w:hanging="640"/>
        <w:rPr>
          <w:rFonts w:ascii="Times New Roman" w:eastAsia="Times New Roman" w:hAnsi="Times New Roman" w:cs="Times New Roman"/>
          <w:noProof/>
        </w:rPr>
      </w:pPr>
      <w:r w:rsidRPr="00453D6D">
        <w:rPr>
          <w:rFonts w:ascii="Times New Roman" w:eastAsia="Times New Roman" w:hAnsi="Times New Roman" w:cs="Times New Roman"/>
          <w:noProof/>
        </w:rPr>
        <w:t>[2]</w:t>
      </w:r>
      <w:r w:rsidRPr="00453D6D">
        <w:rPr>
          <w:rFonts w:ascii="Times New Roman" w:eastAsia="Times New Roman" w:hAnsi="Times New Roman" w:cs="Times New Roman"/>
          <w:noProof/>
        </w:rPr>
        <w:tab/>
        <w:t xml:space="preserve">M. J. Landrum, J. M. Lee, G. R. Riley, W. Jang, W. S. Rubinstein, D. M. Church, and D. R. Maglott, “ClinVar: public archive of relationships among sequence variation and human phenotype.,” </w:t>
      </w:r>
      <w:r w:rsidRPr="00453D6D">
        <w:rPr>
          <w:rFonts w:ascii="Times New Roman" w:eastAsia="Times New Roman" w:hAnsi="Times New Roman" w:cs="Times New Roman"/>
          <w:i/>
          <w:iCs/>
          <w:noProof/>
        </w:rPr>
        <w:t>Nucleic Acids Res.</w:t>
      </w:r>
      <w:r w:rsidRPr="00453D6D">
        <w:rPr>
          <w:rFonts w:ascii="Times New Roman" w:eastAsia="Times New Roman" w:hAnsi="Times New Roman" w:cs="Times New Roman"/>
          <w:noProof/>
        </w:rPr>
        <w:t>, vol. 42, no. Database issue, pp. D980–5, Jan. 2014.</w:t>
      </w:r>
    </w:p>
    <w:p w14:paraId="4A8818EC" w14:textId="77777777" w:rsidR="00453D6D" w:rsidRPr="00453D6D" w:rsidRDefault="00453D6D" w:rsidP="00453D6D">
      <w:pPr>
        <w:widowControl w:val="0"/>
        <w:autoSpaceDE w:val="0"/>
        <w:autoSpaceDN w:val="0"/>
        <w:adjustRightInd w:val="0"/>
        <w:ind w:left="640" w:hanging="640"/>
        <w:rPr>
          <w:rFonts w:ascii="Times New Roman" w:hAnsi="Times New Roman" w:cs="Times New Roman"/>
          <w:noProof/>
        </w:rPr>
      </w:pPr>
      <w:r w:rsidRPr="00453D6D">
        <w:rPr>
          <w:rFonts w:ascii="Times New Roman" w:eastAsia="Times New Roman" w:hAnsi="Times New Roman" w:cs="Times New Roman"/>
          <w:noProof/>
        </w:rPr>
        <w:t>[3]</w:t>
      </w:r>
      <w:r w:rsidRPr="00453D6D">
        <w:rPr>
          <w:rFonts w:ascii="Times New Roman" w:eastAsia="Times New Roman" w:hAnsi="Times New Roman" w:cs="Times New Roman"/>
          <w:noProof/>
        </w:rPr>
        <w:tab/>
        <w:t xml:space="preserve">S. Baba, S. A. Masago, T. Takahashi, T. Kasama, H. Sugimura, S. Tsugane, Y. Tsutsui, and H. Shirasawa, “A novel allelic variant of serum amyloid A, SAA1 gamma: genomic evidence, evolution, frequency, and implication as a risk factor for reactive systemic AA-amyloidosis.,” </w:t>
      </w:r>
      <w:r w:rsidRPr="00453D6D">
        <w:rPr>
          <w:rFonts w:ascii="Times New Roman" w:eastAsia="Times New Roman" w:hAnsi="Times New Roman" w:cs="Times New Roman"/>
          <w:i/>
          <w:iCs/>
          <w:noProof/>
        </w:rPr>
        <w:t>Hum. Mol. Genet.</w:t>
      </w:r>
      <w:r w:rsidRPr="00453D6D">
        <w:rPr>
          <w:rFonts w:ascii="Times New Roman" w:eastAsia="Times New Roman" w:hAnsi="Times New Roman" w:cs="Times New Roman"/>
          <w:noProof/>
        </w:rPr>
        <w:t>, vol. 4, no. 6, pp. 1083–7, Jun. 1995.</w:t>
      </w:r>
    </w:p>
    <w:p w14:paraId="6230EF92" w14:textId="77777777" w:rsidR="003D41D9" w:rsidRPr="00453D6D" w:rsidRDefault="00453D6D" w:rsidP="00453D6D">
      <w:pPr>
        <w:rPr>
          <w:rFonts w:ascii="Times New Roman" w:hAnsi="Times New Roman" w:cs="Times New Roman"/>
        </w:rPr>
      </w:pPr>
      <w:r w:rsidRPr="00453D6D">
        <w:rPr>
          <w:rFonts w:ascii="Times New Roman" w:hAnsi="Times New Roman" w:cs="Times New Roman"/>
        </w:rPr>
        <w:fldChar w:fldCharType="end"/>
      </w:r>
    </w:p>
    <w:p w14:paraId="0A63AC14" w14:textId="77777777" w:rsidR="003D41D9" w:rsidRPr="00453D6D" w:rsidRDefault="003D41D9" w:rsidP="00453D6D">
      <w:pPr>
        <w:rPr>
          <w:rFonts w:ascii="Times New Roman" w:hAnsi="Times New Roman" w:cs="Times New Roman"/>
        </w:rPr>
      </w:pPr>
    </w:p>
    <w:p w14:paraId="2CCD2E4B" w14:textId="022A917E" w:rsidR="003D41D9" w:rsidRDefault="00453D6D" w:rsidP="00453D6D">
      <w:pPr>
        <w:rPr>
          <w:rFonts w:ascii="Times New Roman" w:hAnsi="Times New Roman" w:cs="Times New Roman"/>
          <w:b/>
        </w:rPr>
      </w:pPr>
      <w:r w:rsidRPr="003D5C2D">
        <w:rPr>
          <w:rFonts w:ascii="Times New Roman" w:hAnsi="Times New Roman" w:cs="Times New Roman"/>
          <w:b/>
        </w:rPr>
        <w:t xml:space="preserve">IV. </w:t>
      </w:r>
      <w:r w:rsidR="003D5C2D" w:rsidRPr="003D5C2D">
        <w:rPr>
          <w:rFonts w:ascii="Times New Roman" w:hAnsi="Times New Roman" w:cs="Times New Roman"/>
          <w:b/>
        </w:rPr>
        <w:t>Non-coding mutated genes</w:t>
      </w:r>
    </w:p>
    <w:p w14:paraId="6644C873" w14:textId="3E0346BD" w:rsidR="003D5C2D" w:rsidRDefault="003D5C2D" w:rsidP="003D5C2D">
      <w:pPr>
        <w:rPr>
          <w:rFonts w:ascii="Times New Roman" w:hAnsi="Times New Roman" w:cs="Times New Roman"/>
        </w:rPr>
      </w:pPr>
      <w:r>
        <w:rPr>
          <w:rFonts w:ascii="Times New Roman" w:hAnsi="Times New Roman" w:cs="Times New Roman"/>
        </w:rPr>
        <w:t>Beyond the protein-coding genes, there are many regulatory and non-coding genes across the genome that also can mediate disease or</w:t>
      </w:r>
      <w:r w:rsidR="0020679B">
        <w:rPr>
          <w:rFonts w:ascii="Times New Roman" w:hAnsi="Times New Roman" w:cs="Times New Roman"/>
        </w:rPr>
        <w:t xml:space="preserve"> phenotypes. </w:t>
      </w:r>
      <w:r>
        <w:rPr>
          <w:rFonts w:ascii="Times New Roman" w:hAnsi="Times New Roman" w:cs="Times New Roman"/>
        </w:rPr>
        <w:t xml:space="preserve">We scanned CZ’s genome for non-reference alleles and then intersected these variants with ENCODE regions and other regulatory regions such as VISTA </w:t>
      </w:r>
      <w:r w:rsidR="0020679B">
        <w:rPr>
          <w:rFonts w:ascii="Times New Roman" w:hAnsi="Times New Roman" w:cs="Times New Roman"/>
        </w:rPr>
        <w:t>enhancers</w:t>
      </w:r>
      <w:r>
        <w:rPr>
          <w:rFonts w:ascii="Times New Roman" w:hAnsi="Times New Roman" w:cs="Times New Roman"/>
        </w:rPr>
        <w:t>.  The transcription-factor binding sites with the most mutations were:</w:t>
      </w:r>
    </w:p>
    <w:p w14:paraId="4789AE22" w14:textId="77777777" w:rsidR="0020679B" w:rsidRDefault="0020679B" w:rsidP="003D5C2D">
      <w:pPr>
        <w:rPr>
          <w:rFonts w:ascii="Times New Roman" w:hAnsi="Times New Roman" w:cs="Times New Roman"/>
        </w:rPr>
      </w:pPr>
    </w:p>
    <w:p w14:paraId="0AFF331D" w14:textId="77CACFBF" w:rsidR="003D5C2D" w:rsidRPr="003D5C2D" w:rsidRDefault="003D5C2D" w:rsidP="003D5C2D">
      <w:pPr>
        <w:numPr>
          <w:ilvl w:val="0"/>
          <w:numId w:val="1"/>
        </w:numPr>
        <w:rPr>
          <w:rFonts w:ascii="Times New Roman" w:hAnsi="Times New Roman" w:cs="Times New Roman"/>
        </w:rPr>
      </w:pPr>
      <w:r w:rsidRPr="003D5C2D">
        <w:rPr>
          <w:rFonts w:ascii="Times New Roman" w:hAnsi="Times New Roman" w:cs="Times New Roman"/>
        </w:rPr>
        <w:t>STAT4 (Signal Transducer And Activator Of Transcription)</w:t>
      </w:r>
    </w:p>
    <w:p w14:paraId="7B58915C" w14:textId="77777777" w:rsidR="003D5C2D" w:rsidRPr="003D5C2D" w:rsidRDefault="003D5C2D" w:rsidP="003D5C2D">
      <w:pPr>
        <w:numPr>
          <w:ilvl w:val="0"/>
          <w:numId w:val="1"/>
        </w:numPr>
        <w:rPr>
          <w:rFonts w:ascii="Times New Roman" w:hAnsi="Times New Roman" w:cs="Times New Roman"/>
        </w:rPr>
      </w:pPr>
      <w:r w:rsidRPr="003D5C2D">
        <w:rPr>
          <w:rFonts w:ascii="Times New Roman" w:hAnsi="Times New Roman" w:cs="Times New Roman"/>
        </w:rPr>
        <w:t>AP1 (Activator Protein 1)</w:t>
      </w:r>
    </w:p>
    <w:p w14:paraId="0FCD6E9C" w14:textId="77777777" w:rsidR="003D5C2D" w:rsidRPr="003D5C2D" w:rsidRDefault="003D5C2D" w:rsidP="003D5C2D">
      <w:pPr>
        <w:numPr>
          <w:ilvl w:val="0"/>
          <w:numId w:val="1"/>
        </w:numPr>
        <w:rPr>
          <w:rFonts w:ascii="Times New Roman" w:hAnsi="Times New Roman" w:cs="Times New Roman"/>
        </w:rPr>
      </w:pPr>
      <w:r w:rsidRPr="003D5C2D">
        <w:rPr>
          <w:rFonts w:ascii="Times New Roman" w:hAnsi="Times New Roman" w:cs="Times New Roman"/>
        </w:rPr>
        <w:t>EGR1 (nerve growth)</w:t>
      </w:r>
    </w:p>
    <w:p w14:paraId="571917A2" w14:textId="77777777" w:rsidR="003D5C2D" w:rsidRPr="003D5C2D" w:rsidRDefault="003D5C2D" w:rsidP="003D5C2D">
      <w:pPr>
        <w:numPr>
          <w:ilvl w:val="0"/>
          <w:numId w:val="1"/>
        </w:numPr>
        <w:rPr>
          <w:rFonts w:ascii="Times New Roman" w:hAnsi="Times New Roman" w:cs="Times New Roman"/>
        </w:rPr>
      </w:pPr>
      <w:r w:rsidRPr="003D5C2D">
        <w:rPr>
          <w:rFonts w:ascii="Times New Roman" w:hAnsi="Times New Roman" w:cs="Times New Roman"/>
        </w:rPr>
        <w:t>AP2GAMMA1 (neural crest)</w:t>
      </w:r>
    </w:p>
    <w:p w14:paraId="78AC8E32" w14:textId="77777777" w:rsidR="003D5C2D" w:rsidRPr="003D5C2D" w:rsidRDefault="003D5C2D" w:rsidP="003D5C2D">
      <w:pPr>
        <w:numPr>
          <w:ilvl w:val="0"/>
          <w:numId w:val="1"/>
        </w:numPr>
        <w:rPr>
          <w:rFonts w:ascii="Times New Roman" w:hAnsi="Times New Roman" w:cs="Times New Roman"/>
        </w:rPr>
      </w:pPr>
      <w:r w:rsidRPr="003D5C2D">
        <w:rPr>
          <w:rFonts w:ascii="Times New Roman" w:hAnsi="Times New Roman" w:cs="Times New Roman"/>
        </w:rPr>
        <w:t>GATA1 (hematopoietic TF)</w:t>
      </w:r>
    </w:p>
    <w:p w14:paraId="361C4C84" w14:textId="4ADFE361" w:rsidR="003D5C2D" w:rsidRDefault="003D5C2D" w:rsidP="00453D6D">
      <w:pPr>
        <w:rPr>
          <w:rFonts w:ascii="Times New Roman" w:hAnsi="Times New Roman" w:cs="Times New Roman"/>
        </w:rPr>
      </w:pPr>
    </w:p>
    <w:p w14:paraId="3A90C8C6" w14:textId="4029B17D" w:rsidR="003D5C2D" w:rsidRDefault="003D5C2D" w:rsidP="00453D6D">
      <w:pPr>
        <w:rPr>
          <w:rFonts w:ascii="Times New Roman" w:hAnsi="Times New Roman" w:cs="Times New Roman"/>
        </w:rPr>
      </w:pPr>
      <w:r>
        <w:rPr>
          <w:rFonts w:ascii="Times New Roman" w:hAnsi="Times New Roman" w:cs="Times New Roman"/>
        </w:rPr>
        <w:t>There were also some VISTA enhancers (</w:t>
      </w:r>
      <w:hyperlink r:id="rId8" w:history="1">
        <w:r w:rsidRPr="003D5C2D">
          <w:rPr>
            <w:rStyle w:val="Hyperlink"/>
            <w:rFonts w:ascii="Times New Roman" w:hAnsi="Times New Roman" w:cs="Times New Roman"/>
          </w:rPr>
          <w:t>http://</w:t>
        </w:r>
      </w:hyperlink>
      <w:hyperlink r:id="rId9" w:history="1">
        <w:r w:rsidRPr="003D5C2D">
          <w:rPr>
            <w:rStyle w:val="Hyperlink"/>
            <w:rFonts w:ascii="Times New Roman" w:hAnsi="Times New Roman" w:cs="Times New Roman"/>
          </w:rPr>
          <w:t>enhancer.lbl.gov</w:t>
        </w:r>
      </w:hyperlink>
      <w:r>
        <w:rPr>
          <w:rFonts w:ascii="Times New Roman" w:hAnsi="Times New Roman" w:cs="Times New Roman"/>
        </w:rPr>
        <w:t xml:space="preserve">) with </w:t>
      </w:r>
      <w:proofErr w:type="gramStart"/>
      <w:r>
        <w:rPr>
          <w:rFonts w:ascii="Times New Roman" w:hAnsi="Times New Roman" w:cs="Times New Roman"/>
        </w:rPr>
        <w:t>an enrichment</w:t>
      </w:r>
      <w:proofErr w:type="gramEnd"/>
      <w:r>
        <w:rPr>
          <w:rFonts w:ascii="Times New Roman" w:hAnsi="Times New Roman" w:cs="Times New Roman"/>
        </w:rPr>
        <w:t xml:space="preserve"> in mutations relative to the general population, and this included:</w:t>
      </w:r>
    </w:p>
    <w:p w14:paraId="46668FE4" w14:textId="77777777" w:rsidR="003D5C2D" w:rsidRPr="003D5C2D" w:rsidRDefault="0020679B" w:rsidP="003D5C2D">
      <w:pPr>
        <w:rPr>
          <w:rFonts w:ascii="Times New Roman" w:hAnsi="Times New Roman" w:cs="Times New Roman"/>
        </w:rPr>
      </w:pPr>
      <w:hyperlink r:id="rId10" w:history="1">
        <w:r w:rsidR="003D5C2D" w:rsidRPr="003D5C2D">
          <w:rPr>
            <w:rStyle w:val="Hyperlink"/>
            <w:rFonts w:ascii="Times New Roman" w:hAnsi="Times New Roman" w:cs="Times New Roman"/>
          </w:rPr>
          <w:t xml:space="preserve">1) </w:t>
        </w:r>
        <w:proofErr w:type="gramStart"/>
        <w:r w:rsidR="003D5C2D" w:rsidRPr="003D5C2D">
          <w:rPr>
            <w:rStyle w:val="Hyperlink"/>
            <w:rFonts w:ascii="Times New Roman" w:hAnsi="Times New Roman" w:cs="Times New Roman"/>
          </w:rPr>
          <w:t>element</w:t>
        </w:r>
        <w:proofErr w:type="gramEnd"/>
        <w:r w:rsidR="003D5C2D" w:rsidRPr="003D5C2D">
          <w:rPr>
            <w:rStyle w:val="Hyperlink"/>
            <w:rFonts w:ascii="Times New Roman" w:hAnsi="Times New Roman" w:cs="Times New Roman"/>
          </w:rPr>
          <w:t xml:space="preserve"> 2082 </w:t>
        </w:r>
      </w:hyperlink>
    </w:p>
    <w:p w14:paraId="67AAEE00" w14:textId="77777777" w:rsidR="003D5C2D" w:rsidRPr="003D5C2D" w:rsidRDefault="003D5C2D" w:rsidP="003D5C2D">
      <w:pPr>
        <w:rPr>
          <w:rFonts w:ascii="Times New Roman" w:hAnsi="Times New Roman" w:cs="Times New Roman"/>
        </w:rPr>
      </w:pPr>
      <w:r w:rsidRPr="003D5C2D">
        <w:rPr>
          <w:rFonts w:ascii="Times New Roman" w:hAnsi="Times New Roman" w:cs="Times New Roman"/>
        </w:rPr>
        <w:tab/>
      </w:r>
      <w:proofErr w:type="gramStart"/>
      <w:r w:rsidRPr="003D5C2D">
        <w:rPr>
          <w:rFonts w:ascii="Times New Roman" w:hAnsi="Times New Roman" w:cs="Times New Roman"/>
        </w:rPr>
        <w:t>dorsal</w:t>
      </w:r>
      <w:proofErr w:type="gramEnd"/>
      <w:r w:rsidRPr="003D5C2D">
        <w:rPr>
          <w:rFonts w:ascii="Times New Roman" w:hAnsi="Times New Roman" w:cs="Times New Roman"/>
        </w:rPr>
        <w:t xml:space="preserve"> root ganglion, trigeminal V (ganglion, cranial)</w:t>
      </w:r>
    </w:p>
    <w:p w14:paraId="23795D7A" w14:textId="77777777" w:rsidR="003D5C2D" w:rsidRPr="003D5C2D" w:rsidRDefault="003D5C2D" w:rsidP="003D5C2D">
      <w:pPr>
        <w:rPr>
          <w:rFonts w:ascii="Times New Roman" w:hAnsi="Times New Roman" w:cs="Times New Roman"/>
        </w:rPr>
      </w:pPr>
      <w:r w:rsidRPr="003D5C2D">
        <w:rPr>
          <w:rFonts w:ascii="Times New Roman" w:hAnsi="Times New Roman" w:cs="Times New Roman"/>
        </w:rPr>
        <w:t xml:space="preserve">2) </w:t>
      </w:r>
      <w:hyperlink r:id="rId11" w:history="1">
        <w:proofErr w:type="gramStart"/>
        <w:r w:rsidRPr="003D5C2D">
          <w:rPr>
            <w:rStyle w:val="Hyperlink"/>
            <w:rFonts w:ascii="Times New Roman" w:hAnsi="Times New Roman" w:cs="Times New Roman"/>
          </w:rPr>
          <w:t>element</w:t>
        </w:r>
        <w:proofErr w:type="gramEnd"/>
        <w:r w:rsidRPr="003D5C2D">
          <w:rPr>
            <w:rStyle w:val="Hyperlink"/>
            <w:rFonts w:ascii="Times New Roman" w:hAnsi="Times New Roman" w:cs="Times New Roman"/>
          </w:rPr>
          <w:t xml:space="preserve"> 2084</w:t>
        </w:r>
      </w:hyperlink>
    </w:p>
    <w:p w14:paraId="0203E53E" w14:textId="77777777" w:rsidR="003D5C2D" w:rsidRPr="003D5C2D" w:rsidRDefault="003D5C2D" w:rsidP="003D5C2D">
      <w:pPr>
        <w:rPr>
          <w:rFonts w:ascii="Times New Roman" w:hAnsi="Times New Roman" w:cs="Times New Roman"/>
        </w:rPr>
      </w:pPr>
      <w:r w:rsidRPr="003D5C2D">
        <w:rPr>
          <w:rFonts w:ascii="Times New Roman" w:hAnsi="Times New Roman" w:cs="Times New Roman"/>
        </w:rPr>
        <w:tab/>
      </w:r>
      <w:proofErr w:type="gramStart"/>
      <w:r w:rsidRPr="003D5C2D">
        <w:rPr>
          <w:rFonts w:ascii="Times New Roman" w:hAnsi="Times New Roman" w:cs="Times New Roman"/>
        </w:rPr>
        <w:t>other</w:t>
      </w:r>
      <w:proofErr w:type="gramEnd"/>
    </w:p>
    <w:p w14:paraId="6A7E3FC8" w14:textId="77777777" w:rsidR="003D5C2D" w:rsidRPr="003D5C2D" w:rsidRDefault="003D5C2D" w:rsidP="003D5C2D">
      <w:pPr>
        <w:rPr>
          <w:rFonts w:ascii="Times New Roman" w:hAnsi="Times New Roman" w:cs="Times New Roman"/>
        </w:rPr>
      </w:pPr>
      <w:r w:rsidRPr="003D5C2D">
        <w:rPr>
          <w:rFonts w:ascii="Times New Roman" w:hAnsi="Times New Roman" w:cs="Times New Roman"/>
        </w:rPr>
        <w:t xml:space="preserve">3) </w:t>
      </w:r>
      <w:hyperlink r:id="rId12" w:history="1">
        <w:proofErr w:type="gramStart"/>
        <w:r w:rsidRPr="003D5C2D">
          <w:rPr>
            <w:rStyle w:val="Hyperlink"/>
            <w:rFonts w:ascii="Times New Roman" w:hAnsi="Times New Roman" w:cs="Times New Roman"/>
          </w:rPr>
          <w:t>element</w:t>
        </w:r>
        <w:proofErr w:type="gramEnd"/>
        <w:r w:rsidRPr="003D5C2D">
          <w:rPr>
            <w:rStyle w:val="Hyperlink"/>
            <w:rFonts w:ascii="Times New Roman" w:hAnsi="Times New Roman" w:cs="Times New Roman"/>
          </w:rPr>
          <w:t xml:space="preserve"> 1760</w:t>
        </w:r>
      </w:hyperlink>
    </w:p>
    <w:p w14:paraId="0861C7B5" w14:textId="77777777" w:rsidR="003D5C2D" w:rsidRPr="003D5C2D" w:rsidRDefault="003D5C2D" w:rsidP="003D5C2D">
      <w:pPr>
        <w:rPr>
          <w:rFonts w:ascii="Times New Roman" w:hAnsi="Times New Roman" w:cs="Times New Roman"/>
        </w:rPr>
      </w:pPr>
      <w:r w:rsidRPr="003D5C2D">
        <w:rPr>
          <w:rFonts w:ascii="Times New Roman" w:hAnsi="Times New Roman" w:cs="Times New Roman"/>
        </w:rPr>
        <w:tab/>
      </w:r>
      <w:proofErr w:type="gramStart"/>
      <w:r w:rsidRPr="003D5C2D">
        <w:rPr>
          <w:rFonts w:ascii="Times New Roman" w:hAnsi="Times New Roman" w:cs="Times New Roman"/>
        </w:rPr>
        <w:t>heart</w:t>
      </w:r>
      <w:proofErr w:type="gramEnd"/>
    </w:p>
    <w:p w14:paraId="2A373263" w14:textId="77777777" w:rsidR="003D5C2D" w:rsidRPr="003D5C2D" w:rsidRDefault="003D5C2D" w:rsidP="003D5C2D">
      <w:pPr>
        <w:rPr>
          <w:rFonts w:ascii="Times New Roman" w:hAnsi="Times New Roman" w:cs="Times New Roman"/>
        </w:rPr>
      </w:pPr>
      <w:r w:rsidRPr="003D5C2D">
        <w:rPr>
          <w:rFonts w:ascii="Times New Roman" w:hAnsi="Times New Roman" w:cs="Times New Roman"/>
        </w:rPr>
        <w:t xml:space="preserve">4) </w:t>
      </w:r>
      <w:hyperlink r:id="rId13" w:history="1">
        <w:proofErr w:type="gramStart"/>
        <w:r w:rsidRPr="003D5C2D">
          <w:rPr>
            <w:rStyle w:val="Hyperlink"/>
            <w:rFonts w:ascii="Times New Roman" w:hAnsi="Times New Roman" w:cs="Times New Roman"/>
          </w:rPr>
          <w:t>element</w:t>
        </w:r>
        <w:proofErr w:type="gramEnd"/>
        <w:r w:rsidRPr="003D5C2D">
          <w:rPr>
            <w:rStyle w:val="Hyperlink"/>
            <w:rFonts w:ascii="Times New Roman" w:hAnsi="Times New Roman" w:cs="Times New Roman"/>
          </w:rPr>
          <w:t xml:space="preserve"> 1886</w:t>
        </w:r>
      </w:hyperlink>
    </w:p>
    <w:p w14:paraId="2294CC52" w14:textId="77777777" w:rsidR="003D5C2D" w:rsidRPr="003D5C2D" w:rsidRDefault="003D5C2D" w:rsidP="003D5C2D">
      <w:pPr>
        <w:rPr>
          <w:rFonts w:ascii="Times New Roman" w:hAnsi="Times New Roman" w:cs="Times New Roman"/>
        </w:rPr>
      </w:pPr>
      <w:r w:rsidRPr="003D5C2D">
        <w:rPr>
          <w:rFonts w:ascii="Times New Roman" w:hAnsi="Times New Roman" w:cs="Times New Roman"/>
        </w:rPr>
        <w:tab/>
      </w:r>
      <w:proofErr w:type="gramStart"/>
      <w:r w:rsidRPr="003D5C2D">
        <w:rPr>
          <w:rFonts w:ascii="Times New Roman" w:hAnsi="Times New Roman" w:cs="Times New Roman"/>
        </w:rPr>
        <w:t>heart</w:t>
      </w:r>
      <w:proofErr w:type="gramEnd"/>
    </w:p>
    <w:p w14:paraId="416F1CC9" w14:textId="77777777" w:rsidR="003D5C2D" w:rsidRPr="003D5C2D" w:rsidRDefault="003D5C2D" w:rsidP="003D5C2D">
      <w:pPr>
        <w:rPr>
          <w:rFonts w:ascii="Times New Roman" w:hAnsi="Times New Roman" w:cs="Times New Roman"/>
        </w:rPr>
      </w:pPr>
      <w:r w:rsidRPr="003D5C2D">
        <w:rPr>
          <w:rFonts w:ascii="Times New Roman" w:hAnsi="Times New Roman" w:cs="Times New Roman"/>
        </w:rPr>
        <w:t xml:space="preserve">5) </w:t>
      </w:r>
      <w:hyperlink r:id="rId14" w:history="1">
        <w:proofErr w:type="gramStart"/>
        <w:r w:rsidRPr="003D5C2D">
          <w:rPr>
            <w:rStyle w:val="Hyperlink"/>
            <w:rFonts w:ascii="Times New Roman" w:hAnsi="Times New Roman" w:cs="Times New Roman"/>
          </w:rPr>
          <w:t>element</w:t>
        </w:r>
        <w:proofErr w:type="gramEnd"/>
        <w:r w:rsidRPr="003D5C2D">
          <w:rPr>
            <w:rStyle w:val="Hyperlink"/>
            <w:rFonts w:ascii="Times New Roman" w:hAnsi="Times New Roman" w:cs="Times New Roman"/>
          </w:rPr>
          <w:t xml:space="preserve"> 1385</w:t>
        </w:r>
      </w:hyperlink>
    </w:p>
    <w:p w14:paraId="5EB0314C" w14:textId="77777777" w:rsidR="003D5C2D" w:rsidRPr="003D5C2D" w:rsidRDefault="003D5C2D" w:rsidP="003D5C2D">
      <w:pPr>
        <w:rPr>
          <w:rFonts w:ascii="Times New Roman" w:hAnsi="Times New Roman" w:cs="Times New Roman"/>
        </w:rPr>
      </w:pPr>
      <w:r w:rsidRPr="003D5C2D">
        <w:rPr>
          <w:rFonts w:ascii="Times New Roman" w:hAnsi="Times New Roman" w:cs="Times New Roman"/>
        </w:rPr>
        <w:t xml:space="preserve"> </w:t>
      </w:r>
      <w:r w:rsidRPr="003D5C2D">
        <w:rPr>
          <w:rFonts w:ascii="Times New Roman" w:hAnsi="Times New Roman" w:cs="Times New Roman"/>
        </w:rPr>
        <w:tab/>
      </w:r>
      <w:proofErr w:type="gramStart"/>
      <w:r w:rsidRPr="003D5C2D">
        <w:rPr>
          <w:rFonts w:ascii="Times New Roman" w:hAnsi="Times New Roman" w:cs="Times New Roman"/>
        </w:rPr>
        <w:t>hindbrain</w:t>
      </w:r>
      <w:proofErr w:type="gramEnd"/>
      <w:r w:rsidRPr="003D5C2D">
        <w:rPr>
          <w:rFonts w:ascii="Times New Roman" w:hAnsi="Times New Roman" w:cs="Times New Roman"/>
        </w:rPr>
        <w:t xml:space="preserve"> (</w:t>
      </w:r>
      <w:proofErr w:type="spellStart"/>
      <w:r w:rsidRPr="003D5C2D">
        <w:rPr>
          <w:rFonts w:ascii="Times New Roman" w:hAnsi="Times New Roman" w:cs="Times New Roman"/>
        </w:rPr>
        <w:t>rhombencephalon</w:t>
      </w:r>
      <w:proofErr w:type="spellEnd"/>
      <w:r w:rsidRPr="003D5C2D">
        <w:rPr>
          <w:rFonts w:ascii="Times New Roman" w:hAnsi="Times New Roman" w:cs="Times New Roman"/>
        </w:rPr>
        <w:t xml:space="preserve">), midbrain (mesencephalon) </w:t>
      </w:r>
    </w:p>
    <w:p w14:paraId="28600821" w14:textId="77777777" w:rsidR="003D5C2D" w:rsidRPr="003D5C2D" w:rsidRDefault="003D5C2D" w:rsidP="003D5C2D">
      <w:pPr>
        <w:rPr>
          <w:rFonts w:ascii="Times New Roman" w:hAnsi="Times New Roman" w:cs="Times New Roman"/>
        </w:rPr>
      </w:pPr>
      <w:r w:rsidRPr="003D5C2D">
        <w:rPr>
          <w:rFonts w:ascii="Times New Roman" w:hAnsi="Times New Roman" w:cs="Times New Roman"/>
        </w:rPr>
        <w:t xml:space="preserve">6) </w:t>
      </w:r>
      <w:hyperlink r:id="rId15" w:history="1">
        <w:proofErr w:type="gramStart"/>
        <w:r w:rsidRPr="003D5C2D">
          <w:rPr>
            <w:rStyle w:val="Hyperlink"/>
            <w:rFonts w:ascii="Times New Roman" w:hAnsi="Times New Roman" w:cs="Times New Roman"/>
          </w:rPr>
          <w:t>element</w:t>
        </w:r>
        <w:proofErr w:type="gramEnd"/>
        <w:r w:rsidRPr="003D5C2D">
          <w:rPr>
            <w:rStyle w:val="Hyperlink"/>
            <w:rFonts w:ascii="Times New Roman" w:hAnsi="Times New Roman" w:cs="Times New Roman"/>
          </w:rPr>
          <w:t xml:space="preserve"> 1391</w:t>
        </w:r>
      </w:hyperlink>
    </w:p>
    <w:p w14:paraId="07249376" w14:textId="77777777" w:rsidR="003D5C2D" w:rsidRPr="003D5C2D" w:rsidRDefault="003D5C2D" w:rsidP="003D5C2D">
      <w:pPr>
        <w:rPr>
          <w:rFonts w:ascii="Times New Roman" w:hAnsi="Times New Roman" w:cs="Times New Roman"/>
        </w:rPr>
      </w:pPr>
      <w:r w:rsidRPr="003D5C2D">
        <w:rPr>
          <w:rFonts w:ascii="Times New Roman" w:hAnsi="Times New Roman" w:cs="Times New Roman"/>
        </w:rPr>
        <w:tab/>
      </w:r>
      <w:proofErr w:type="gramStart"/>
      <w:r w:rsidRPr="003D5C2D">
        <w:rPr>
          <w:rFonts w:ascii="Times New Roman" w:hAnsi="Times New Roman" w:cs="Times New Roman"/>
        </w:rPr>
        <w:t>midbrain</w:t>
      </w:r>
      <w:proofErr w:type="gramEnd"/>
      <w:r w:rsidRPr="003D5C2D">
        <w:rPr>
          <w:rFonts w:ascii="Times New Roman" w:hAnsi="Times New Roman" w:cs="Times New Roman"/>
        </w:rPr>
        <w:t xml:space="preserve"> (mesencephalon), forebrain</w:t>
      </w:r>
    </w:p>
    <w:p w14:paraId="6A488FDD" w14:textId="77777777" w:rsidR="003D5C2D" w:rsidRDefault="003D5C2D" w:rsidP="00453D6D">
      <w:pPr>
        <w:rPr>
          <w:rFonts w:ascii="Times New Roman" w:hAnsi="Times New Roman" w:cs="Times New Roman"/>
        </w:rPr>
      </w:pPr>
    </w:p>
    <w:p w14:paraId="1A8AED7E" w14:textId="078DD199" w:rsidR="003D5C2D" w:rsidRDefault="003D5C2D" w:rsidP="00453D6D">
      <w:pPr>
        <w:rPr>
          <w:rFonts w:ascii="Times New Roman" w:hAnsi="Times New Roman" w:cs="Times New Roman"/>
        </w:rPr>
      </w:pPr>
      <w:r>
        <w:rPr>
          <w:rFonts w:ascii="Times New Roman" w:hAnsi="Times New Roman" w:cs="Times New Roman"/>
        </w:rPr>
        <w:t>However, CZ</w:t>
      </w:r>
      <w:r w:rsidR="0020679B">
        <w:rPr>
          <w:rFonts w:ascii="Times New Roman" w:hAnsi="Times New Roman" w:cs="Times New Roman"/>
        </w:rPr>
        <w:t>’s body</w:t>
      </w:r>
      <w:r>
        <w:rPr>
          <w:rFonts w:ascii="Times New Roman" w:hAnsi="Times New Roman" w:cs="Times New Roman"/>
        </w:rPr>
        <w:t xml:space="preserve"> is already fully developed, so clearly these mutations did not prevent him from forming a complete </w:t>
      </w:r>
      <w:r w:rsidR="00EA451C">
        <w:rPr>
          <w:rFonts w:ascii="Times New Roman" w:hAnsi="Times New Roman" w:cs="Times New Roman"/>
        </w:rPr>
        <w:t>midbrain, heart, or hindbrain.</w:t>
      </w:r>
      <w:r w:rsidR="0020679B">
        <w:rPr>
          <w:rFonts w:ascii="Times New Roman" w:hAnsi="Times New Roman" w:cs="Times New Roman"/>
        </w:rPr>
        <w:t xml:space="preserve">  Which is good news, especially for CZ.</w:t>
      </w:r>
    </w:p>
    <w:p w14:paraId="449FB7AA" w14:textId="77777777" w:rsidR="00EA451C" w:rsidRDefault="00EA451C" w:rsidP="00453D6D">
      <w:pPr>
        <w:rPr>
          <w:rFonts w:ascii="Times New Roman" w:hAnsi="Times New Roman" w:cs="Times New Roman"/>
        </w:rPr>
      </w:pPr>
    </w:p>
    <w:p w14:paraId="7CF7B458" w14:textId="30876C31" w:rsidR="00EA451C" w:rsidRPr="00EA451C" w:rsidRDefault="00EA451C" w:rsidP="00453D6D">
      <w:pPr>
        <w:rPr>
          <w:rFonts w:ascii="Times New Roman" w:hAnsi="Times New Roman" w:cs="Times New Roman"/>
          <w:b/>
        </w:rPr>
      </w:pPr>
      <w:r w:rsidRPr="00EA451C">
        <w:rPr>
          <w:rFonts w:ascii="Times New Roman" w:hAnsi="Times New Roman" w:cs="Times New Roman"/>
          <w:b/>
        </w:rPr>
        <w:t>V.  Transposable Element Insertions (TEIs)</w:t>
      </w:r>
    </w:p>
    <w:p w14:paraId="24F39D2A" w14:textId="0A5EAB43" w:rsidR="00EA451C" w:rsidRDefault="00EA451C" w:rsidP="00453D6D">
      <w:pPr>
        <w:rPr>
          <w:rFonts w:ascii="Times New Roman" w:hAnsi="Times New Roman" w:cs="Times New Roman"/>
        </w:rPr>
      </w:pPr>
      <w:r>
        <w:rPr>
          <w:rFonts w:ascii="Times New Roman" w:hAnsi="Times New Roman" w:cs="Times New Roman"/>
        </w:rPr>
        <w:t>We next used a computational tool called Jitterbug (</w:t>
      </w:r>
      <w:r w:rsidRPr="00EA451C">
        <w:rPr>
          <w:rFonts w:ascii="Times New Roman" w:hAnsi="Times New Roman"/>
        </w:rPr>
        <w:t>https://github.com/elzbth/jitterbug</w:t>
      </w:r>
      <w:r>
        <w:rPr>
          <w:rFonts w:ascii="Times New Roman" w:hAnsi="Times New Roman" w:cs="Times New Roman"/>
        </w:rPr>
        <w:t>) t</w:t>
      </w:r>
      <w:r w:rsidR="0020679B">
        <w:rPr>
          <w:rFonts w:ascii="Times New Roman" w:hAnsi="Times New Roman" w:cs="Times New Roman"/>
        </w:rPr>
        <w:t>o scan for transposable element insertions</w:t>
      </w:r>
      <w:r>
        <w:rPr>
          <w:rFonts w:ascii="Times New Roman" w:hAnsi="Times New Roman" w:cs="Times New Roman"/>
        </w:rPr>
        <w:t xml:space="preserve"> (TE</w:t>
      </w:r>
      <w:r w:rsidR="0020679B">
        <w:rPr>
          <w:rFonts w:ascii="Times New Roman" w:hAnsi="Times New Roman" w:cs="Times New Roman"/>
        </w:rPr>
        <w:t>I</w:t>
      </w:r>
      <w:r>
        <w:rPr>
          <w:rFonts w:ascii="Times New Roman" w:hAnsi="Times New Roman" w:cs="Times New Roman"/>
        </w:rPr>
        <w:t xml:space="preserve">s) that have inserted into CZ’s genome.  We found 452 TEIs present in CZ’s genome, but all of these are also predicted from normal controls in the </w:t>
      </w:r>
      <w:r w:rsidRPr="00EA451C">
        <w:rPr>
          <w:rFonts w:ascii="Times New Roman" w:hAnsi="Times New Roman" w:cs="Times New Roman"/>
        </w:rPr>
        <w:t>Pan-Cancer analysis of Whole Genomes (PCAWG) normal samples</w:t>
      </w:r>
      <w:r>
        <w:rPr>
          <w:rFonts w:ascii="Times New Roman" w:hAnsi="Times New Roman" w:cs="Times New Roman"/>
        </w:rPr>
        <w:t xml:space="preserve">, n=64 controls), and thus they represent normal genetic variation. </w:t>
      </w:r>
    </w:p>
    <w:p w14:paraId="63781E4B" w14:textId="77777777" w:rsidR="00EA451C" w:rsidRDefault="00EA451C" w:rsidP="00EA451C">
      <w:pPr>
        <w:rPr>
          <w:rFonts w:ascii="Times New Roman" w:hAnsi="Times New Roman" w:cs="Times New Roman"/>
        </w:rPr>
      </w:pPr>
    </w:p>
    <w:p w14:paraId="734A1990" w14:textId="082624C8" w:rsidR="00EA451C" w:rsidRPr="00EA451C" w:rsidRDefault="0020679B" w:rsidP="00EA451C">
      <w:pPr>
        <w:rPr>
          <w:rFonts w:ascii="Times New Roman" w:hAnsi="Times New Roman"/>
        </w:rPr>
      </w:pPr>
      <w:r>
        <w:rPr>
          <w:rFonts w:ascii="Times New Roman" w:hAnsi="Times New Roman" w:cs="Times New Roman"/>
        </w:rPr>
        <w:t>Interestingly</w:t>
      </w:r>
      <w:r w:rsidR="00EA451C">
        <w:rPr>
          <w:rFonts w:ascii="Times New Roman" w:hAnsi="Times New Roman" w:cs="Times New Roman"/>
        </w:rPr>
        <w:t xml:space="preserve">, </w:t>
      </w:r>
      <w:r w:rsidR="00EA451C" w:rsidRPr="00EA451C">
        <w:rPr>
          <w:rFonts w:ascii="Times New Roman" w:hAnsi="Times New Roman"/>
        </w:rPr>
        <w:t xml:space="preserve">4 of </w:t>
      </w:r>
      <w:r w:rsidR="00EA451C">
        <w:rPr>
          <w:rFonts w:ascii="Times New Roman" w:hAnsi="Times New Roman"/>
        </w:rPr>
        <w:t xml:space="preserve">these TEIs </w:t>
      </w:r>
      <w:r w:rsidR="00EA451C" w:rsidRPr="00EA451C">
        <w:rPr>
          <w:rFonts w:ascii="Times New Roman" w:hAnsi="Times New Roman"/>
        </w:rPr>
        <w:t>(</w:t>
      </w:r>
      <w:proofErr w:type="spellStart"/>
      <w:r w:rsidR="00EA451C" w:rsidRPr="00EA451C">
        <w:rPr>
          <w:rFonts w:ascii="Times New Roman" w:hAnsi="Times New Roman"/>
        </w:rPr>
        <w:t>Alus</w:t>
      </w:r>
      <w:proofErr w:type="spellEnd"/>
      <w:r w:rsidR="00EA451C" w:rsidRPr="00EA451C">
        <w:rPr>
          <w:rFonts w:ascii="Times New Roman" w:hAnsi="Times New Roman"/>
        </w:rPr>
        <w:t>) are in introns, of the following genes:</w:t>
      </w:r>
    </w:p>
    <w:p w14:paraId="4112D97A" w14:textId="3C248D0E" w:rsidR="00EA451C" w:rsidRDefault="00EA451C" w:rsidP="00EA451C">
      <w:pPr>
        <w:rPr>
          <w:rFonts w:ascii="Times New Roman" w:hAnsi="Times New Roman" w:cs="Times New Roman"/>
        </w:rPr>
      </w:pPr>
      <w:proofErr w:type="gramStart"/>
      <w:r w:rsidRPr="00EA451C">
        <w:rPr>
          <w:rFonts w:ascii="Times New Roman" w:hAnsi="Times New Roman" w:cs="Times New Roman"/>
        </w:rPr>
        <w:t>MIR7641-2</w:t>
      </w:r>
      <w:r>
        <w:rPr>
          <w:rFonts w:ascii="Times New Roman" w:hAnsi="Times New Roman" w:cs="Times New Roman"/>
        </w:rPr>
        <w:t xml:space="preserve">, </w:t>
      </w:r>
      <w:r w:rsidRPr="00EA451C">
        <w:rPr>
          <w:rFonts w:ascii="Times New Roman" w:hAnsi="Times New Roman" w:cs="Times New Roman"/>
        </w:rPr>
        <w:t>RBM6</w:t>
      </w:r>
      <w:r>
        <w:rPr>
          <w:rFonts w:ascii="Times New Roman" w:hAnsi="Times New Roman" w:cs="Times New Roman"/>
        </w:rPr>
        <w:t xml:space="preserve">, </w:t>
      </w:r>
      <w:r w:rsidRPr="00EA451C">
        <w:rPr>
          <w:rFonts w:ascii="Times New Roman" w:hAnsi="Times New Roman" w:cs="Times New Roman"/>
        </w:rPr>
        <w:t>BRWD1</w:t>
      </w:r>
      <w:r>
        <w:rPr>
          <w:rFonts w:ascii="Times New Roman" w:hAnsi="Times New Roman" w:cs="Times New Roman"/>
        </w:rPr>
        <w:t xml:space="preserve">, </w:t>
      </w:r>
      <w:r w:rsidRPr="00EA451C">
        <w:rPr>
          <w:rFonts w:ascii="Times New Roman" w:hAnsi="Times New Roman" w:cs="Times New Roman"/>
        </w:rPr>
        <w:t>ENY2</w:t>
      </w:r>
      <w:r w:rsidR="0020679B">
        <w:rPr>
          <w:rFonts w:ascii="Times New Roman" w:hAnsi="Times New Roman" w:cs="Times New Roman"/>
        </w:rPr>
        <w:t>.</w:t>
      </w:r>
      <w:proofErr w:type="gramEnd"/>
    </w:p>
    <w:p w14:paraId="3A5DD0EB" w14:textId="77777777" w:rsidR="0020679B" w:rsidRDefault="0020679B" w:rsidP="00EA451C">
      <w:pPr>
        <w:rPr>
          <w:rFonts w:ascii="Times New Roman" w:hAnsi="Times New Roman" w:cs="Times New Roman"/>
        </w:rPr>
      </w:pPr>
    </w:p>
    <w:p w14:paraId="0B2DEB8D" w14:textId="5074D5D4" w:rsidR="00EA451C" w:rsidRPr="00EA451C" w:rsidRDefault="00EA451C" w:rsidP="00EA451C">
      <w:pPr>
        <w:rPr>
          <w:rFonts w:ascii="Times New Roman" w:hAnsi="Times New Roman" w:cs="Times New Roman"/>
        </w:rPr>
      </w:pPr>
      <w:r>
        <w:rPr>
          <w:rFonts w:ascii="Times New Roman" w:hAnsi="Times New Roman" w:cs="Times New Roman"/>
        </w:rPr>
        <w:t xml:space="preserve">And </w:t>
      </w:r>
      <w:r w:rsidRPr="00EA451C">
        <w:rPr>
          <w:rFonts w:ascii="Times New Roman" w:hAnsi="Times New Roman" w:cs="Times New Roman"/>
        </w:rPr>
        <w:t>11 TEI</w:t>
      </w:r>
      <w:r>
        <w:rPr>
          <w:rFonts w:ascii="Times New Roman" w:hAnsi="Times New Roman" w:cs="Times New Roman"/>
        </w:rPr>
        <w:t>s</w:t>
      </w:r>
      <w:r w:rsidRPr="00EA451C">
        <w:rPr>
          <w:rFonts w:ascii="Times New Roman" w:hAnsi="Times New Roman" w:cs="Times New Roman"/>
        </w:rPr>
        <w:t xml:space="preserve"> </w:t>
      </w:r>
      <w:r>
        <w:rPr>
          <w:rFonts w:ascii="Times New Roman" w:hAnsi="Times New Roman" w:cs="Times New Roman"/>
        </w:rPr>
        <w:t xml:space="preserve">are </w:t>
      </w:r>
      <w:r w:rsidRPr="00EA451C">
        <w:rPr>
          <w:rFonts w:ascii="Times New Roman" w:hAnsi="Times New Roman" w:cs="Times New Roman"/>
        </w:rPr>
        <w:t xml:space="preserve">in common with Genome in a Bottle GIAB) trio (son, father, mother): </w:t>
      </w:r>
    </w:p>
    <w:p w14:paraId="77BF5474" w14:textId="122F1D9B" w:rsidR="00EA451C" w:rsidRDefault="00EA451C" w:rsidP="00453D6D">
      <w:pPr>
        <w:rPr>
          <w:rFonts w:ascii="Times New Roman" w:hAnsi="Times New Roman" w:cs="Times New Roman"/>
        </w:rPr>
      </w:pPr>
      <w:r w:rsidRPr="00EA451C">
        <w:rPr>
          <w:rFonts w:ascii="Times New Roman" w:hAnsi="Times New Roman" w:cs="Times New Roman"/>
        </w:rPr>
        <w:t>HG002: 6</w:t>
      </w:r>
      <w:r>
        <w:rPr>
          <w:rFonts w:ascii="Times New Roman" w:hAnsi="Times New Roman" w:cs="Times New Roman"/>
        </w:rPr>
        <w:t xml:space="preserve">, </w:t>
      </w:r>
      <w:r w:rsidRPr="00EA451C">
        <w:rPr>
          <w:rFonts w:ascii="Times New Roman" w:hAnsi="Times New Roman" w:cs="Times New Roman"/>
        </w:rPr>
        <w:t>HG003: 5</w:t>
      </w:r>
      <w:r>
        <w:rPr>
          <w:rFonts w:ascii="Times New Roman" w:hAnsi="Times New Roman" w:cs="Times New Roman"/>
        </w:rPr>
        <w:t xml:space="preserve">, </w:t>
      </w:r>
      <w:r w:rsidRPr="00EA451C">
        <w:rPr>
          <w:rFonts w:ascii="Times New Roman" w:hAnsi="Times New Roman" w:cs="Times New Roman"/>
        </w:rPr>
        <w:t>HG004: 9</w:t>
      </w:r>
    </w:p>
    <w:p w14:paraId="0217D809" w14:textId="77777777" w:rsidR="00EA451C" w:rsidRDefault="00EA451C" w:rsidP="00453D6D">
      <w:pPr>
        <w:rPr>
          <w:rFonts w:ascii="Times New Roman" w:hAnsi="Times New Roman" w:cs="Times New Roman"/>
        </w:rPr>
      </w:pPr>
    </w:p>
    <w:p w14:paraId="2272FE03" w14:textId="77777777" w:rsidR="00EA451C" w:rsidRDefault="00EA451C" w:rsidP="00453D6D">
      <w:pPr>
        <w:rPr>
          <w:rFonts w:ascii="Times New Roman" w:hAnsi="Times New Roman" w:cs="Times New Roman"/>
        </w:rPr>
      </w:pPr>
    </w:p>
    <w:p w14:paraId="564E68FE" w14:textId="4CA9116B" w:rsidR="00EA451C" w:rsidRPr="00EA451C" w:rsidRDefault="00EA451C" w:rsidP="00453D6D">
      <w:pPr>
        <w:rPr>
          <w:rFonts w:ascii="Times New Roman" w:hAnsi="Times New Roman" w:cs="Times New Roman"/>
          <w:b/>
        </w:rPr>
      </w:pPr>
      <w:r w:rsidRPr="00EA451C">
        <w:rPr>
          <w:rFonts w:ascii="Times New Roman" w:hAnsi="Times New Roman" w:cs="Times New Roman"/>
          <w:b/>
        </w:rPr>
        <w:t>VI.  Up next</w:t>
      </w:r>
    </w:p>
    <w:p w14:paraId="51D65786" w14:textId="77777777" w:rsidR="0020679B" w:rsidRDefault="0020679B" w:rsidP="00453D6D">
      <w:pPr>
        <w:rPr>
          <w:rFonts w:ascii="Times New Roman" w:hAnsi="Times New Roman" w:cs="Times New Roman"/>
        </w:rPr>
      </w:pPr>
      <w:r>
        <w:rPr>
          <w:rFonts w:ascii="Times New Roman" w:hAnsi="Times New Roman" w:cs="Times New Roman"/>
        </w:rPr>
        <w:t>The genome is the book of life, but not the action coming off the pages.  So…</w:t>
      </w:r>
    </w:p>
    <w:p w14:paraId="191EC645" w14:textId="26E88E2B" w:rsidR="00EA451C" w:rsidRDefault="00EA451C" w:rsidP="00453D6D">
      <w:pPr>
        <w:rPr>
          <w:rFonts w:ascii="Times New Roman" w:hAnsi="Times New Roman" w:cs="Times New Roman"/>
        </w:rPr>
      </w:pPr>
      <w:r>
        <w:rPr>
          <w:rFonts w:ascii="Times New Roman" w:hAnsi="Times New Roman" w:cs="Times New Roman"/>
        </w:rPr>
        <w:t>What about the epigenome</w:t>
      </w:r>
      <w:proofErr w:type="gramStart"/>
      <w:r>
        <w:rPr>
          <w:rFonts w:ascii="Times New Roman" w:hAnsi="Times New Roman" w:cs="Times New Roman"/>
        </w:rPr>
        <w:t>!?</w:t>
      </w:r>
      <w:proofErr w:type="gramEnd"/>
      <w:r>
        <w:rPr>
          <w:rFonts w:ascii="Times New Roman" w:hAnsi="Times New Roman" w:cs="Times New Roman"/>
        </w:rPr>
        <w:t xml:space="preserve">  We encourage CZ to look at his epigenome, the transcriptome, </w:t>
      </w:r>
      <w:bookmarkStart w:id="0" w:name="_GoBack"/>
      <w:bookmarkEnd w:id="0"/>
      <w:r>
        <w:rPr>
          <w:rFonts w:ascii="Times New Roman" w:hAnsi="Times New Roman" w:cs="Times New Roman"/>
        </w:rPr>
        <w:t>metagenome, and other ‘</w:t>
      </w:r>
      <w:proofErr w:type="spellStart"/>
      <w:r>
        <w:rPr>
          <w:rFonts w:ascii="Times New Roman" w:hAnsi="Times New Roman" w:cs="Times New Roman"/>
        </w:rPr>
        <w:t>omes</w:t>
      </w:r>
      <w:proofErr w:type="spellEnd"/>
      <w:r>
        <w:rPr>
          <w:rFonts w:ascii="Times New Roman" w:hAnsi="Times New Roman" w:cs="Times New Roman"/>
        </w:rPr>
        <w:t xml:space="preserve"> so he can learn about how they change.  We invite him to become one of the NASA astronaut controls!</w:t>
      </w:r>
    </w:p>
    <w:p w14:paraId="2F2FE622" w14:textId="028CDF60" w:rsidR="00EA451C" w:rsidRPr="003D5C2D" w:rsidRDefault="00EA451C" w:rsidP="00453D6D">
      <w:pPr>
        <w:rPr>
          <w:rFonts w:ascii="Times New Roman" w:hAnsi="Times New Roman" w:cs="Times New Roman"/>
        </w:rPr>
      </w:pPr>
      <w:r w:rsidRPr="00EA451C">
        <w:rPr>
          <w:rFonts w:ascii="Times New Roman" w:hAnsi="Times New Roman" w:cs="Times New Roman"/>
          <w:noProof/>
        </w:rPr>
        <w:drawing>
          <wp:inline distT="0" distB="0" distL="0" distR="0" wp14:anchorId="68338D4A" wp14:editId="3C1ACA7B">
            <wp:extent cx="6126480" cy="460173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6480" cy="4601733"/>
                    </a:xfrm>
                    <a:prstGeom prst="rect">
                      <a:avLst/>
                    </a:prstGeom>
                    <a:noFill/>
                    <a:ln>
                      <a:noFill/>
                    </a:ln>
                  </pic:spPr>
                </pic:pic>
              </a:graphicData>
            </a:graphic>
          </wp:inline>
        </w:drawing>
      </w:r>
    </w:p>
    <w:sectPr w:rsidR="00EA451C" w:rsidRPr="003D5C2D" w:rsidSect="00453D6D">
      <w:pgSz w:w="12240" w:h="15840"/>
      <w:pgMar w:top="1296" w:right="1296" w:bottom="1296"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4D"/>
    <w:family w:val="modern"/>
    <w:notTrueType/>
    <w:pitch w:val="fixed"/>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C5186"/>
    <w:multiLevelType w:val="hybridMultilevel"/>
    <w:tmpl w:val="A6B4F6E8"/>
    <w:lvl w:ilvl="0" w:tplc="C4DA99FA">
      <w:start w:val="1"/>
      <w:numFmt w:val="bullet"/>
      <w:lvlText w:val="•"/>
      <w:lvlJc w:val="left"/>
      <w:pPr>
        <w:tabs>
          <w:tab w:val="num" w:pos="720"/>
        </w:tabs>
        <w:ind w:left="720" w:hanging="360"/>
      </w:pPr>
      <w:rPr>
        <w:rFonts w:ascii="Arial" w:hAnsi="Arial" w:hint="default"/>
      </w:rPr>
    </w:lvl>
    <w:lvl w:ilvl="1" w:tplc="7E142F9E" w:tentative="1">
      <w:start w:val="1"/>
      <w:numFmt w:val="bullet"/>
      <w:lvlText w:val="•"/>
      <w:lvlJc w:val="left"/>
      <w:pPr>
        <w:tabs>
          <w:tab w:val="num" w:pos="1440"/>
        </w:tabs>
        <w:ind w:left="1440" w:hanging="360"/>
      </w:pPr>
      <w:rPr>
        <w:rFonts w:ascii="Arial" w:hAnsi="Arial" w:hint="default"/>
      </w:rPr>
    </w:lvl>
    <w:lvl w:ilvl="2" w:tplc="3B6E3C56" w:tentative="1">
      <w:start w:val="1"/>
      <w:numFmt w:val="bullet"/>
      <w:lvlText w:val="•"/>
      <w:lvlJc w:val="left"/>
      <w:pPr>
        <w:tabs>
          <w:tab w:val="num" w:pos="2160"/>
        </w:tabs>
        <w:ind w:left="2160" w:hanging="360"/>
      </w:pPr>
      <w:rPr>
        <w:rFonts w:ascii="Arial" w:hAnsi="Arial" w:hint="default"/>
      </w:rPr>
    </w:lvl>
    <w:lvl w:ilvl="3" w:tplc="2BBC543A" w:tentative="1">
      <w:start w:val="1"/>
      <w:numFmt w:val="bullet"/>
      <w:lvlText w:val="•"/>
      <w:lvlJc w:val="left"/>
      <w:pPr>
        <w:tabs>
          <w:tab w:val="num" w:pos="2880"/>
        </w:tabs>
        <w:ind w:left="2880" w:hanging="360"/>
      </w:pPr>
      <w:rPr>
        <w:rFonts w:ascii="Arial" w:hAnsi="Arial" w:hint="default"/>
      </w:rPr>
    </w:lvl>
    <w:lvl w:ilvl="4" w:tplc="9D8EBE76" w:tentative="1">
      <w:start w:val="1"/>
      <w:numFmt w:val="bullet"/>
      <w:lvlText w:val="•"/>
      <w:lvlJc w:val="left"/>
      <w:pPr>
        <w:tabs>
          <w:tab w:val="num" w:pos="3600"/>
        </w:tabs>
        <w:ind w:left="3600" w:hanging="360"/>
      </w:pPr>
      <w:rPr>
        <w:rFonts w:ascii="Arial" w:hAnsi="Arial" w:hint="default"/>
      </w:rPr>
    </w:lvl>
    <w:lvl w:ilvl="5" w:tplc="4DE2341C" w:tentative="1">
      <w:start w:val="1"/>
      <w:numFmt w:val="bullet"/>
      <w:lvlText w:val="•"/>
      <w:lvlJc w:val="left"/>
      <w:pPr>
        <w:tabs>
          <w:tab w:val="num" w:pos="4320"/>
        </w:tabs>
        <w:ind w:left="4320" w:hanging="360"/>
      </w:pPr>
      <w:rPr>
        <w:rFonts w:ascii="Arial" w:hAnsi="Arial" w:hint="default"/>
      </w:rPr>
    </w:lvl>
    <w:lvl w:ilvl="6" w:tplc="7562B1FC" w:tentative="1">
      <w:start w:val="1"/>
      <w:numFmt w:val="bullet"/>
      <w:lvlText w:val="•"/>
      <w:lvlJc w:val="left"/>
      <w:pPr>
        <w:tabs>
          <w:tab w:val="num" w:pos="5040"/>
        </w:tabs>
        <w:ind w:left="5040" w:hanging="360"/>
      </w:pPr>
      <w:rPr>
        <w:rFonts w:ascii="Arial" w:hAnsi="Arial" w:hint="default"/>
      </w:rPr>
    </w:lvl>
    <w:lvl w:ilvl="7" w:tplc="9B908D62" w:tentative="1">
      <w:start w:val="1"/>
      <w:numFmt w:val="bullet"/>
      <w:lvlText w:val="•"/>
      <w:lvlJc w:val="left"/>
      <w:pPr>
        <w:tabs>
          <w:tab w:val="num" w:pos="5760"/>
        </w:tabs>
        <w:ind w:left="5760" w:hanging="360"/>
      </w:pPr>
      <w:rPr>
        <w:rFonts w:ascii="Arial" w:hAnsi="Arial" w:hint="default"/>
      </w:rPr>
    </w:lvl>
    <w:lvl w:ilvl="8" w:tplc="815ADA2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D9"/>
    <w:rsid w:val="00152953"/>
    <w:rsid w:val="0020679B"/>
    <w:rsid w:val="003D41D9"/>
    <w:rsid w:val="003D5C2D"/>
    <w:rsid w:val="00453D6D"/>
    <w:rsid w:val="005D1DEE"/>
    <w:rsid w:val="00C25696"/>
    <w:rsid w:val="00EA45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C9D4BA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453D6D"/>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53D6D"/>
    <w:rPr>
      <w:rFonts w:ascii="Times" w:hAnsi="Times"/>
      <w:b/>
      <w:bCs/>
      <w:sz w:val="27"/>
      <w:szCs w:val="27"/>
    </w:rPr>
  </w:style>
  <w:style w:type="character" w:styleId="Hyperlink">
    <w:name w:val="Hyperlink"/>
    <w:basedOn w:val="DefaultParagraphFont"/>
    <w:uiPriority w:val="99"/>
    <w:unhideWhenUsed/>
    <w:rsid w:val="00453D6D"/>
    <w:rPr>
      <w:color w:val="0000FF" w:themeColor="hyperlink"/>
      <w:u w:val="single"/>
    </w:rPr>
  </w:style>
  <w:style w:type="paragraph" w:styleId="NormalWeb">
    <w:name w:val="Normal (Web)"/>
    <w:basedOn w:val="Normal"/>
    <w:uiPriority w:val="99"/>
    <w:unhideWhenUsed/>
    <w:rsid w:val="00453D6D"/>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453D6D"/>
    <w:rPr>
      <w:b/>
      <w:bCs/>
    </w:rPr>
  </w:style>
  <w:style w:type="paragraph" w:styleId="HTMLPreformatted">
    <w:name w:val="HTML Preformatted"/>
    <w:basedOn w:val="Normal"/>
    <w:link w:val="HTMLPreformattedChar"/>
    <w:uiPriority w:val="99"/>
    <w:semiHidden/>
    <w:unhideWhenUsed/>
    <w:rsid w:val="00453D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453D6D"/>
    <w:rPr>
      <w:rFonts w:ascii="Courier" w:hAnsi="Courier" w:cs="Courier"/>
      <w:sz w:val="20"/>
      <w:szCs w:val="20"/>
    </w:rPr>
  </w:style>
  <w:style w:type="character" w:styleId="Emphasis">
    <w:name w:val="Emphasis"/>
    <w:basedOn w:val="DefaultParagraphFont"/>
    <w:uiPriority w:val="20"/>
    <w:qFormat/>
    <w:rsid w:val="00453D6D"/>
    <w:rPr>
      <w:i/>
      <w:iCs/>
    </w:rPr>
  </w:style>
  <w:style w:type="paragraph" w:styleId="BalloonText">
    <w:name w:val="Balloon Text"/>
    <w:basedOn w:val="Normal"/>
    <w:link w:val="BalloonTextChar"/>
    <w:uiPriority w:val="99"/>
    <w:semiHidden/>
    <w:unhideWhenUsed/>
    <w:rsid w:val="00453D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3D6D"/>
    <w:rPr>
      <w:rFonts w:ascii="Lucida Grande" w:hAnsi="Lucida Grande" w:cs="Lucida Grande"/>
      <w:sz w:val="18"/>
      <w:szCs w:val="18"/>
    </w:rPr>
  </w:style>
  <w:style w:type="paragraph" w:styleId="ListParagraph">
    <w:name w:val="List Paragraph"/>
    <w:basedOn w:val="Normal"/>
    <w:uiPriority w:val="34"/>
    <w:qFormat/>
    <w:rsid w:val="003D5C2D"/>
    <w:pPr>
      <w:ind w:left="720"/>
      <w:contextualSpacing/>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453D6D"/>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53D6D"/>
    <w:rPr>
      <w:rFonts w:ascii="Times" w:hAnsi="Times"/>
      <w:b/>
      <w:bCs/>
      <w:sz w:val="27"/>
      <w:szCs w:val="27"/>
    </w:rPr>
  </w:style>
  <w:style w:type="character" w:styleId="Hyperlink">
    <w:name w:val="Hyperlink"/>
    <w:basedOn w:val="DefaultParagraphFont"/>
    <w:uiPriority w:val="99"/>
    <w:unhideWhenUsed/>
    <w:rsid w:val="00453D6D"/>
    <w:rPr>
      <w:color w:val="0000FF" w:themeColor="hyperlink"/>
      <w:u w:val="single"/>
    </w:rPr>
  </w:style>
  <w:style w:type="paragraph" w:styleId="NormalWeb">
    <w:name w:val="Normal (Web)"/>
    <w:basedOn w:val="Normal"/>
    <w:uiPriority w:val="99"/>
    <w:unhideWhenUsed/>
    <w:rsid w:val="00453D6D"/>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453D6D"/>
    <w:rPr>
      <w:b/>
      <w:bCs/>
    </w:rPr>
  </w:style>
  <w:style w:type="paragraph" w:styleId="HTMLPreformatted">
    <w:name w:val="HTML Preformatted"/>
    <w:basedOn w:val="Normal"/>
    <w:link w:val="HTMLPreformattedChar"/>
    <w:uiPriority w:val="99"/>
    <w:semiHidden/>
    <w:unhideWhenUsed/>
    <w:rsid w:val="00453D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453D6D"/>
    <w:rPr>
      <w:rFonts w:ascii="Courier" w:hAnsi="Courier" w:cs="Courier"/>
      <w:sz w:val="20"/>
      <w:szCs w:val="20"/>
    </w:rPr>
  </w:style>
  <w:style w:type="character" w:styleId="Emphasis">
    <w:name w:val="Emphasis"/>
    <w:basedOn w:val="DefaultParagraphFont"/>
    <w:uiPriority w:val="20"/>
    <w:qFormat/>
    <w:rsid w:val="00453D6D"/>
    <w:rPr>
      <w:i/>
      <w:iCs/>
    </w:rPr>
  </w:style>
  <w:style w:type="paragraph" w:styleId="BalloonText">
    <w:name w:val="Balloon Text"/>
    <w:basedOn w:val="Normal"/>
    <w:link w:val="BalloonTextChar"/>
    <w:uiPriority w:val="99"/>
    <w:semiHidden/>
    <w:unhideWhenUsed/>
    <w:rsid w:val="00453D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3D6D"/>
    <w:rPr>
      <w:rFonts w:ascii="Lucida Grande" w:hAnsi="Lucida Grande" w:cs="Lucida Grande"/>
      <w:sz w:val="18"/>
      <w:szCs w:val="18"/>
    </w:rPr>
  </w:style>
  <w:style w:type="paragraph" w:styleId="ListParagraph">
    <w:name w:val="List Paragraph"/>
    <w:basedOn w:val="Normal"/>
    <w:uiPriority w:val="34"/>
    <w:qFormat/>
    <w:rsid w:val="003D5C2D"/>
    <w:pPr>
      <w:ind w:left="720"/>
      <w:contextualSpacing/>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32757">
      <w:bodyDiv w:val="1"/>
      <w:marLeft w:val="0"/>
      <w:marRight w:val="0"/>
      <w:marTop w:val="0"/>
      <w:marBottom w:val="0"/>
      <w:divBdr>
        <w:top w:val="none" w:sz="0" w:space="0" w:color="auto"/>
        <w:left w:val="none" w:sz="0" w:space="0" w:color="auto"/>
        <w:bottom w:val="none" w:sz="0" w:space="0" w:color="auto"/>
        <w:right w:val="none" w:sz="0" w:space="0" w:color="auto"/>
      </w:divBdr>
      <w:divsChild>
        <w:div w:id="23947252">
          <w:marLeft w:val="547"/>
          <w:marRight w:val="0"/>
          <w:marTop w:val="154"/>
          <w:marBottom w:val="0"/>
          <w:divBdr>
            <w:top w:val="none" w:sz="0" w:space="0" w:color="auto"/>
            <w:left w:val="none" w:sz="0" w:space="0" w:color="auto"/>
            <w:bottom w:val="none" w:sz="0" w:space="0" w:color="auto"/>
            <w:right w:val="none" w:sz="0" w:space="0" w:color="auto"/>
          </w:divBdr>
        </w:div>
        <w:div w:id="2975564">
          <w:marLeft w:val="547"/>
          <w:marRight w:val="0"/>
          <w:marTop w:val="154"/>
          <w:marBottom w:val="0"/>
          <w:divBdr>
            <w:top w:val="none" w:sz="0" w:space="0" w:color="auto"/>
            <w:left w:val="none" w:sz="0" w:space="0" w:color="auto"/>
            <w:bottom w:val="none" w:sz="0" w:space="0" w:color="auto"/>
            <w:right w:val="none" w:sz="0" w:space="0" w:color="auto"/>
          </w:divBdr>
        </w:div>
        <w:div w:id="12610262">
          <w:marLeft w:val="547"/>
          <w:marRight w:val="0"/>
          <w:marTop w:val="154"/>
          <w:marBottom w:val="0"/>
          <w:divBdr>
            <w:top w:val="none" w:sz="0" w:space="0" w:color="auto"/>
            <w:left w:val="none" w:sz="0" w:space="0" w:color="auto"/>
            <w:bottom w:val="none" w:sz="0" w:space="0" w:color="auto"/>
            <w:right w:val="none" w:sz="0" w:space="0" w:color="auto"/>
          </w:divBdr>
        </w:div>
        <w:div w:id="1753817235">
          <w:marLeft w:val="547"/>
          <w:marRight w:val="0"/>
          <w:marTop w:val="154"/>
          <w:marBottom w:val="0"/>
          <w:divBdr>
            <w:top w:val="none" w:sz="0" w:space="0" w:color="auto"/>
            <w:left w:val="none" w:sz="0" w:space="0" w:color="auto"/>
            <w:bottom w:val="none" w:sz="0" w:space="0" w:color="auto"/>
            <w:right w:val="none" w:sz="0" w:space="0" w:color="auto"/>
          </w:divBdr>
        </w:div>
        <w:div w:id="1509444106">
          <w:marLeft w:val="547"/>
          <w:marRight w:val="0"/>
          <w:marTop w:val="154"/>
          <w:marBottom w:val="0"/>
          <w:divBdr>
            <w:top w:val="none" w:sz="0" w:space="0" w:color="auto"/>
            <w:left w:val="none" w:sz="0" w:space="0" w:color="auto"/>
            <w:bottom w:val="none" w:sz="0" w:space="0" w:color="auto"/>
            <w:right w:val="none" w:sz="0" w:space="0" w:color="auto"/>
          </w:divBdr>
        </w:div>
      </w:divsChild>
    </w:div>
    <w:div w:id="981495924">
      <w:bodyDiv w:val="1"/>
      <w:marLeft w:val="0"/>
      <w:marRight w:val="0"/>
      <w:marTop w:val="0"/>
      <w:marBottom w:val="0"/>
      <w:divBdr>
        <w:top w:val="none" w:sz="0" w:space="0" w:color="auto"/>
        <w:left w:val="none" w:sz="0" w:space="0" w:color="auto"/>
        <w:bottom w:val="none" w:sz="0" w:space="0" w:color="auto"/>
        <w:right w:val="none" w:sz="0" w:space="0" w:color="auto"/>
      </w:divBdr>
    </w:div>
    <w:div w:id="996806780">
      <w:bodyDiv w:val="1"/>
      <w:marLeft w:val="0"/>
      <w:marRight w:val="0"/>
      <w:marTop w:val="0"/>
      <w:marBottom w:val="0"/>
      <w:divBdr>
        <w:top w:val="none" w:sz="0" w:space="0" w:color="auto"/>
        <w:left w:val="none" w:sz="0" w:space="0" w:color="auto"/>
        <w:bottom w:val="none" w:sz="0" w:space="0" w:color="auto"/>
        <w:right w:val="none" w:sz="0" w:space="0" w:color="auto"/>
      </w:divBdr>
    </w:div>
    <w:div w:id="100600949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enhancer.lbl.gov/cgi-bin/imagedb3.pl?form=presentation&amp;show=1&amp;experiment_id=2084&amp;organism_id=1" TargetMode="External"/><Relationship Id="rId12" Type="http://schemas.openxmlformats.org/officeDocument/2006/relationships/hyperlink" Target="http://enhancer.lbl.gov/cgi-bin/imagedb3.pl?form=presentation&amp;show=1&amp;experiment_id=1760&amp;organism_id=1" TargetMode="External"/><Relationship Id="rId13" Type="http://schemas.openxmlformats.org/officeDocument/2006/relationships/hyperlink" Target="http://enhancer.lbl.gov/cgi-bin/imagedb3.pl?form=presentation&amp;show=1&amp;experiment_id=1886&amp;organism_id=1" TargetMode="External"/><Relationship Id="rId14" Type="http://schemas.openxmlformats.org/officeDocument/2006/relationships/hyperlink" Target="http://enhancer.lbl.gov/cgi-bin/imagedb3.pl?form=presentation&amp;show=1&amp;experiment_id=1385&amp;organism_id=1" TargetMode="External"/><Relationship Id="rId15" Type="http://schemas.openxmlformats.org/officeDocument/2006/relationships/hyperlink" Target="http://enhancer.lbl.gov/cgi-bin/imagedb3.pl?form=presentation&amp;show=1&amp;experiment_id=1391&amp;organism_id=1" TargetMode="External"/><Relationship Id="rId16" Type="http://schemas.openxmlformats.org/officeDocument/2006/relationships/image" Target="media/image3.em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enhancer.lbl.gov/" TargetMode="External"/><Relationship Id="rId9" Type="http://schemas.openxmlformats.org/officeDocument/2006/relationships/hyperlink" Target="http://enhancer.lbl.gov/" TargetMode="External"/><Relationship Id="rId10" Type="http://schemas.openxmlformats.org/officeDocument/2006/relationships/hyperlink" Target="http://enhancer.lbl.gov/cgi-bin/imagedb3.pl?form=presentation&amp;show=1&amp;experiment_id=2082&amp;organism_id=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5</Pages>
  <Words>2845</Words>
  <Characters>16223</Characters>
  <Application>Microsoft Macintosh Word</Application>
  <DocSecurity>0</DocSecurity>
  <Lines>135</Lines>
  <Paragraphs>38</Paragraphs>
  <ScaleCrop>false</ScaleCrop>
  <Company>Weill Cornell Medicine</Company>
  <LinksUpToDate>false</LinksUpToDate>
  <CharactersWithSpaces>19030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Mason</dc:creator>
  <cp:keywords/>
  <dc:description/>
  <cp:lastModifiedBy>Christopher Mason</cp:lastModifiedBy>
  <cp:revision>5</cp:revision>
  <dcterms:created xsi:type="dcterms:W3CDTF">2016-07-09T13:32:00Z</dcterms:created>
  <dcterms:modified xsi:type="dcterms:W3CDTF">2016-07-09T15:26:00Z</dcterms:modified>
</cp:coreProperties>
</file>